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B7" w:rsidRPr="00B33FBF" w:rsidRDefault="00C01DB7" w:rsidP="00C01DB7">
      <w:pPr>
        <w:rPr>
          <w:rFonts w:ascii="Arial" w:hAnsi="Arial" w:cs="Arial"/>
          <w:b/>
          <w:sz w:val="64"/>
          <w:szCs w:val="64"/>
        </w:rPr>
      </w:pPr>
      <w:r w:rsidRPr="00B33FBF">
        <w:rPr>
          <w:rFonts w:ascii="Arial" w:hAnsi="Arial" w:cs="Arial"/>
          <w:noProof/>
        </w:rPr>
        <w:drawing>
          <wp:anchor distT="0" distB="0" distL="114300" distR="114300" simplePos="0" relativeHeight="251674624" behindDoc="1" locked="0" layoutInCell="1" allowOverlap="1" wp14:anchorId="78D5FF29" wp14:editId="44AABB49">
            <wp:simplePos x="0" y="0"/>
            <wp:positionH relativeFrom="column">
              <wp:posOffset>0</wp:posOffset>
            </wp:positionH>
            <wp:positionV relativeFrom="paragraph">
              <wp:posOffset>-8255</wp:posOffset>
            </wp:positionV>
            <wp:extent cx="1409700" cy="1847850"/>
            <wp:effectExtent l="0" t="0" r="0" b="0"/>
            <wp:wrapNone/>
            <wp:docPr id="16" name="Picture 16" descr="http://iccstaff.iccsafe.org/images/logos/logo-v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cstaff.iccsafe.org/images/logos/logo-vert.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097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t xml:space="preserve">International Code </w:t>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r>
      <w:r w:rsidRPr="00B33FBF">
        <w:rPr>
          <w:rFonts w:ascii="Arial" w:hAnsi="Arial" w:cs="Arial"/>
          <w:b/>
          <w:sz w:val="64"/>
          <w:szCs w:val="64"/>
        </w:rPr>
        <w:tab/>
        <w:t>Council</w:t>
      </w: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44"/>
          <w:szCs w:val="44"/>
        </w:rPr>
      </w:pPr>
    </w:p>
    <w:p w:rsidR="00C01DB7" w:rsidRPr="00B33FBF" w:rsidRDefault="00C01DB7" w:rsidP="00C01DB7">
      <w:pPr>
        <w:jc w:val="right"/>
        <w:rPr>
          <w:rFonts w:ascii="Arial" w:hAnsi="Arial" w:cs="Arial"/>
          <w:b/>
          <w:sz w:val="64"/>
          <w:szCs w:val="64"/>
        </w:rPr>
      </w:pPr>
      <w:r w:rsidRPr="00B33FBF">
        <w:rPr>
          <w:rFonts w:ascii="Arial" w:hAnsi="Arial" w:cs="Arial"/>
          <w:b/>
          <w:sz w:val="64"/>
          <w:szCs w:val="64"/>
        </w:rPr>
        <w:t xml:space="preserve">Standard on the Design and </w:t>
      </w:r>
    </w:p>
    <w:p w:rsidR="00C01DB7" w:rsidRPr="00B33FBF" w:rsidRDefault="00C01DB7" w:rsidP="00C01DB7">
      <w:pPr>
        <w:jc w:val="right"/>
        <w:rPr>
          <w:rFonts w:ascii="Arial" w:hAnsi="Arial" w:cs="Arial"/>
          <w:b/>
          <w:sz w:val="64"/>
          <w:szCs w:val="64"/>
        </w:rPr>
      </w:pPr>
      <w:r w:rsidRPr="00B33FBF">
        <w:rPr>
          <w:rFonts w:ascii="Arial" w:hAnsi="Arial" w:cs="Arial"/>
          <w:b/>
          <w:sz w:val="64"/>
          <w:szCs w:val="64"/>
        </w:rPr>
        <w:t>Construction of Log Structures</w:t>
      </w:r>
    </w:p>
    <w:p w:rsidR="00C01DB7" w:rsidRPr="00B33FBF" w:rsidRDefault="00C01DB7" w:rsidP="00C01DB7">
      <w:pPr>
        <w:rPr>
          <w:rFonts w:ascii="Arial" w:hAnsi="Arial" w:cs="Arial"/>
          <w:b/>
          <w:sz w:val="44"/>
          <w:szCs w:val="44"/>
        </w:rPr>
      </w:pPr>
    </w:p>
    <w:p w:rsidR="00C01DB7" w:rsidRPr="00B33FBF" w:rsidRDefault="00C01DB7" w:rsidP="00C01DB7">
      <w:pPr>
        <w:rPr>
          <w:rFonts w:ascii="Arial" w:hAnsi="Arial" w:cs="Arial"/>
          <w:b/>
          <w:sz w:val="52"/>
          <w:szCs w:val="52"/>
        </w:rPr>
      </w:pPr>
    </w:p>
    <w:p w:rsidR="00C01DB7" w:rsidRPr="00B33FBF" w:rsidRDefault="00C01DB7" w:rsidP="00C01DB7">
      <w:pPr>
        <w:jc w:val="right"/>
        <w:rPr>
          <w:rFonts w:ascii="Arial" w:hAnsi="Arial" w:cs="Arial"/>
          <w:b/>
          <w:sz w:val="52"/>
          <w:szCs w:val="52"/>
        </w:rPr>
      </w:pPr>
      <w:r w:rsidRPr="00B33FBF">
        <w:rPr>
          <w:rFonts w:ascii="Arial" w:hAnsi="Arial" w:cs="Arial"/>
          <w:b/>
          <w:sz w:val="52"/>
          <w:szCs w:val="52"/>
        </w:rPr>
        <w:t>ICC 400-2017 edition</w:t>
      </w:r>
    </w:p>
    <w:p w:rsidR="00C01DB7" w:rsidRDefault="00C206D2" w:rsidP="00C01DB7">
      <w:pPr>
        <w:jc w:val="right"/>
        <w:rPr>
          <w:rFonts w:ascii="Arial" w:hAnsi="Arial" w:cs="Arial"/>
          <w:b/>
          <w:sz w:val="52"/>
          <w:szCs w:val="52"/>
        </w:rPr>
      </w:pPr>
      <w:r w:rsidRPr="00B33FBF">
        <w:rPr>
          <w:rFonts w:ascii="Arial" w:hAnsi="Arial" w:cs="Arial"/>
          <w:b/>
          <w:sz w:val="52"/>
          <w:szCs w:val="52"/>
        </w:rPr>
        <w:t>Public Comment</w:t>
      </w:r>
      <w:r w:rsidR="006A4058" w:rsidRPr="00B33FBF">
        <w:rPr>
          <w:rFonts w:ascii="Arial" w:hAnsi="Arial" w:cs="Arial"/>
          <w:b/>
          <w:sz w:val="52"/>
          <w:szCs w:val="52"/>
        </w:rPr>
        <w:t xml:space="preserve"> Draft – </w:t>
      </w:r>
      <w:r w:rsidRPr="00B33FBF">
        <w:rPr>
          <w:rFonts w:ascii="Arial" w:hAnsi="Arial" w:cs="Arial"/>
          <w:b/>
          <w:sz w:val="52"/>
          <w:szCs w:val="52"/>
        </w:rPr>
        <w:t>July</w:t>
      </w:r>
      <w:r w:rsidR="006A4058" w:rsidRPr="00B33FBF">
        <w:rPr>
          <w:rFonts w:ascii="Arial" w:hAnsi="Arial" w:cs="Arial"/>
          <w:b/>
          <w:sz w:val="52"/>
          <w:szCs w:val="52"/>
        </w:rPr>
        <w:t xml:space="preserve"> 2017</w:t>
      </w:r>
    </w:p>
    <w:p w:rsidR="00B66216" w:rsidRPr="00B33FBF" w:rsidRDefault="00B66216" w:rsidP="00C01DB7">
      <w:pPr>
        <w:jc w:val="right"/>
        <w:rPr>
          <w:rFonts w:ascii="Arial" w:hAnsi="Arial" w:cs="Arial"/>
          <w:b/>
          <w:sz w:val="52"/>
          <w:szCs w:val="52"/>
        </w:rPr>
      </w:pPr>
      <w:r>
        <w:rPr>
          <w:rFonts w:ascii="Arial" w:hAnsi="Arial" w:cs="Arial"/>
          <w:b/>
          <w:sz w:val="52"/>
          <w:szCs w:val="52"/>
        </w:rPr>
        <w:t>Addendum 1, August 9, 2017</w:t>
      </w:r>
    </w:p>
    <w:p w:rsidR="009B0985" w:rsidRDefault="009B0985" w:rsidP="00C01DB7">
      <w:pPr>
        <w:rPr>
          <w:rFonts w:ascii="Arial" w:hAnsi="Arial" w:cs="Arial"/>
          <w:b/>
          <w:sz w:val="44"/>
          <w:szCs w:val="44"/>
        </w:rPr>
      </w:pPr>
    </w:p>
    <w:p w:rsidR="00B66216" w:rsidRDefault="00B66216" w:rsidP="00C01DB7">
      <w:pPr>
        <w:rPr>
          <w:rFonts w:ascii="Arial" w:hAnsi="Arial" w:cs="Arial"/>
          <w:b/>
          <w:sz w:val="44"/>
          <w:szCs w:val="44"/>
        </w:rPr>
      </w:pPr>
    </w:p>
    <w:p w:rsidR="00B66216" w:rsidRDefault="00B66216" w:rsidP="00C01DB7">
      <w:pPr>
        <w:rPr>
          <w:rFonts w:ascii="Arial" w:hAnsi="Arial" w:cs="Arial"/>
          <w:b/>
          <w:sz w:val="44"/>
          <w:szCs w:val="44"/>
        </w:rPr>
      </w:pPr>
    </w:p>
    <w:p w:rsidR="00B66216" w:rsidRPr="00805A63" w:rsidRDefault="00C01DB7" w:rsidP="00805A63">
      <w:pPr>
        <w:rPr>
          <w:rFonts w:ascii="Arial" w:hAnsi="Arial" w:cs="Arial"/>
          <w:b/>
          <w:bCs/>
          <w:sz w:val="20"/>
          <w:szCs w:val="20"/>
        </w:rPr>
      </w:pPr>
      <w:r w:rsidRPr="00B33FBF">
        <w:rPr>
          <w:rFonts w:ascii="Arial" w:hAnsi="Arial" w:cs="Arial"/>
          <w:b/>
          <w:bCs/>
          <w:sz w:val="20"/>
          <w:szCs w:val="20"/>
        </w:rPr>
        <w:t xml:space="preserve">The public </w:t>
      </w:r>
      <w:r w:rsidR="00C206D2" w:rsidRPr="00B33FBF">
        <w:rPr>
          <w:rFonts w:ascii="Arial" w:hAnsi="Arial" w:cs="Arial"/>
          <w:b/>
          <w:bCs/>
          <w:sz w:val="20"/>
          <w:szCs w:val="20"/>
        </w:rPr>
        <w:t>comment</w:t>
      </w:r>
      <w:r w:rsidRPr="00B33FBF">
        <w:rPr>
          <w:rFonts w:ascii="Arial" w:hAnsi="Arial" w:cs="Arial"/>
          <w:b/>
          <w:bCs/>
          <w:sz w:val="20"/>
          <w:szCs w:val="20"/>
        </w:rPr>
        <w:t xml:space="preserve"> deadline </w:t>
      </w:r>
      <w:r w:rsidR="00B66216">
        <w:rPr>
          <w:rFonts w:ascii="Arial" w:hAnsi="Arial" w:cs="Arial"/>
          <w:b/>
          <w:bCs/>
          <w:sz w:val="20"/>
          <w:szCs w:val="20"/>
        </w:rPr>
        <w:t xml:space="preserve">for items contained in Addendum 1 </w:t>
      </w:r>
      <w:r w:rsidRPr="00B33FBF">
        <w:rPr>
          <w:rFonts w:ascii="Arial" w:hAnsi="Arial" w:cs="Arial"/>
          <w:b/>
          <w:bCs/>
          <w:sz w:val="20"/>
          <w:szCs w:val="20"/>
        </w:rPr>
        <w:t xml:space="preserve">is </w:t>
      </w:r>
      <w:r w:rsidR="00B66216">
        <w:rPr>
          <w:rFonts w:ascii="Arial" w:hAnsi="Arial" w:cs="Arial"/>
          <w:b/>
          <w:bCs/>
          <w:sz w:val="20"/>
          <w:szCs w:val="20"/>
        </w:rPr>
        <w:t>September 23</w:t>
      </w:r>
      <w:r w:rsidR="006A4058" w:rsidRPr="00B33FBF">
        <w:rPr>
          <w:rFonts w:ascii="Arial" w:hAnsi="Arial" w:cs="Arial"/>
          <w:b/>
          <w:bCs/>
          <w:sz w:val="20"/>
          <w:szCs w:val="20"/>
        </w:rPr>
        <w:t xml:space="preserve">, 2017. Go to </w:t>
      </w:r>
      <w:hyperlink r:id="rId10" w:history="1">
        <w:r w:rsidR="006A4058" w:rsidRPr="00B33FBF">
          <w:rPr>
            <w:rStyle w:val="Hyperlink"/>
            <w:rFonts w:ascii="Arial" w:hAnsi="Arial" w:cs="Arial"/>
            <w:b/>
            <w:bCs/>
            <w:sz w:val="20"/>
            <w:szCs w:val="20"/>
          </w:rPr>
          <w:t>https://www.iccsafe.org/codes-tech-support/codes/code-development-process/standards-development/is-log/</w:t>
        </w:r>
      </w:hyperlink>
      <w:r w:rsidR="006A4058" w:rsidRPr="00B33FBF">
        <w:rPr>
          <w:rFonts w:ascii="Arial" w:hAnsi="Arial" w:cs="Arial"/>
          <w:b/>
          <w:bCs/>
          <w:sz w:val="20"/>
          <w:szCs w:val="20"/>
        </w:rPr>
        <w:t xml:space="preserve"> </w:t>
      </w:r>
      <w:r w:rsidRPr="00B33FBF">
        <w:rPr>
          <w:rFonts w:ascii="Arial" w:hAnsi="Arial" w:cs="Arial"/>
          <w:b/>
          <w:bCs/>
          <w:sz w:val="20"/>
          <w:szCs w:val="20"/>
        </w:rPr>
        <w:t>for more information.</w:t>
      </w:r>
      <w:r w:rsidR="009B0985" w:rsidRPr="00B33FBF">
        <w:rPr>
          <w:rFonts w:ascii="Arial" w:hAnsi="Arial" w:cs="Arial"/>
          <w:b/>
          <w:bCs/>
          <w:sz w:val="20"/>
          <w:szCs w:val="20"/>
        </w:rPr>
        <w:t xml:space="preserve"> To purchase a copy of ICC 400-2012 </w:t>
      </w:r>
      <w:proofErr w:type="gramStart"/>
      <w:r w:rsidR="009B0985" w:rsidRPr="00B33FBF">
        <w:rPr>
          <w:rFonts w:ascii="Arial" w:hAnsi="Arial" w:cs="Arial"/>
          <w:b/>
          <w:bCs/>
          <w:sz w:val="20"/>
          <w:szCs w:val="20"/>
        </w:rPr>
        <w:t>go</w:t>
      </w:r>
      <w:proofErr w:type="gramEnd"/>
      <w:r w:rsidR="009B0985" w:rsidRPr="00B33FBF">
        <w:rPr>
          <w:rFonts w:ascii="Arial" w:hAnsi="Arial" w:cs="Arial"/>
          <w:b/>
          <w:bCs/>
          <w:sz w:val="20"/>
          <w:szCs w:val="20"/>
        </w:rPr>
        <w:t xml:space="preserve"> to </w:t>
      </w:r>
      <w:hyperlink r:id="rId11" w:history="1">
        <w:r w:rsidR="009B0985" w:rsidRPr="00B33FBF">
          <w:rPr>
            <w:rStyle w:val="Hyperlink"/>
            <w:rFonts w:ascii="Arial" w:hAnsi="Arial" w:cs="Arial"/>
            <w:b/>
            <w:bCs/>
            <w:sz w:val="20"/>
            <w:szCs w:val="20"/>
          </w:rPr>
          <w:t>ICC 400-2012</w:t>
        </w:r>
      </w:hyperlink>
      <w:r w:rsidR="009B0985" w:rsidRPr="00B33FBF">
        <w:rPr>
          <w:rFonts w:ascii="Arial" w:hAnsi="Arial" w:cs="Arial"/>
          <w:b/>
          <w:bCs/>
          <w:sz w:val="20"/>
          <w:szCs w:val="20"/>
        </w:rPr>
        <w:t xml:space="preserve"> </w:t>
      </w:r>
    </w:p>
    <w:p w:rsidR="003356C4" w:rsidRPr="00B66216" w:rsidRDefault="003356C4" w:rsidP="00B66216">
      <w:pPr>
        <w:jc w:val="center"/>
        <w:rPr>
          <w:rFonts w:ascii="Arial" w:hAnsi="Arial" w:cs="Arial"/>
          <w:b/>
        </w:rPr>
      </w:pPr>
      <w:bookmarkStart w:id="0" w:name="_GoBack"/>
      <w:bookmarkEnd w:id="0"/>
      <w:r w:rsidRPr="00B33FBF">
        <w:rPr>
          <w:rFonts w:ascii="Arial" w:eastAsiaTheme="minorHAnsi" w:hAnsi="Arial" w:cs="Arial"/>
          <w:b/>
          <w:bCs/>
        </w:rPr>
        <w:t>CHAPTER 3</w:t>
      </w:r>
    </w:p>
    <w:p w:rsidR="003E3ACD" w:rsidRPr="00B33FBF" w:rsidRDefault="003356C4" w:rsidP="00B66216">
      <w:pPr>
        <w:jc w:val="center"/>
        <w:rPr>
          <w:rFonts w:ascii="Arial" w:eastAsiaTheme="minorHAnsi" w:hAnsi="Arial" w:cs="Arial"/>
          <w:b/>
          <w:bCs/>
        </w:rPr>
      </w:pPr>
      <w:r w:rsidRPr="00B33FBF">
        <w:rPr>
          <w:rFonts w:ascii="Arial" w:eastAsiaTheme="minorHAnsi" w:hAnsi="Arial" w:cs="Arial"/>
          <w:b/>
          <w:bCs/>
        </w:rPr>
        <w:t>GENERAL REQUIREMENTS</w:t>
      </w:r>
    </w:p>
    <w:p w:rsidR="003356C4" w:rsidRPr="00B33FBF" w:rsidRDefault="003356C4" w:rsidP="003356C4">
      <w:pPr>
        <w:jc w:val="center"/>
        <w:rPr>
          <w:rFonts w:ascii="Arial" w:eastAsiaTheme="minorHAnsi" w:hAnsi="Arial" w:cs="Arial"/>
          <w:b/>
          <w:bCs/>
        </w:rPr>
      </w:pPr>
    </w:p>
    <w:p w:rsidR="003356C4" w:rsidRPr="00B33FBF" w:rsidRDefault="003356C4" w:rsidP="003356C4">
      <w:pPr>
        <w:autoSpaceDE w:val="0"/>
        <w:autoSpaceDN w:val="0"/>
        <w:adjustRightInd w:val="0"/>
        <w:jc w:val="center"/>
        <w:rPr>
          <w:rFonts w:ascii="Arial" w:eastAsiaTheme="minorHAnsi" w:hAnsi="Arial" w:cs="Arial"/>
          <w:b/>
          <w:bCs/>
        </w:rPr>
      </w:pPr>
      <w:r w:rsidRPr="00B33FBF">
        <w:rPr>
          <w:rFonts w:ascii="Arial" w:eastAsiaTheme="minorHAnsi" w:hAnsi="Arial" w:cs="Arial"/>
          <w:b/>
          <w:bCs/>
        </w:rPr>
        <w:t>SECTION 302</w:t>
      </w:r>
    </w:p>
    <w:p w:rsidR="003356C4" w:rsidRPr="00B33FBF" w:rsidRDefault="003356C4" w:rsidP="003356C4">
      <w:pPr>
        <w:autoSpaceDE w:val="0"/>
        <w:autoSpaceDN w:val="0"/>
        <w:adjustRightInd w:val="0"/>
        <w:jc w:val="center"/>
        <w:rPr>
          <w:rFonts w:ascii="Arial" w:eastAsiaTheme="minorHAnsi" w:hAnsi="Arial" w:cs="Arial"/>
          <w:b/>
          <w:bCs/>
        </w:rPr>
      </w:pPr>
      <w:r w:rsidRPr="00B33FBF">
        <w:rPr>
          <w:rFonts w:ascii="Arial" w:eastAsiaTheme="minorHAnsi" w:hAnsi="Arial" w:cs="Arial"/>
          <w:b/>
          <w:bCs/>
        </w:rPr>
        <w:t>MATERIALS</w:t>
      </w:r>
    </w:p>
    <w:p w:rsidR="003356C4" w:rsidRDefault="003356C4">
      <w:pPr>
        <w:autoSpaceDE w:val="0"/>
        <w:autoSpaceDN w:val="0"/>
        <w:adjustRightInd w:val="0"/>
        <w:rPr>
          <w:rFonts w:ascii="Arial" w:eastAsiaTheme="minorHAnsi" w:hAnsi="Arial" w:cs="Arial"/>
          <w:b/>
          <w:bCs/>
        </w:rPr>
      </w:pPr>
    </w:p>
    <w:p w:rsidR="00B66216" w:rsidRPr="00B66216" w:rsidRDefault="00B66216">
      <w:pPr>
        <w:autoSpaceDE w:val="0"/>
        <w:autoSpaceDN w:val="0"/>
        <w:adjustRightInd w:val="0"/>
        <w:rPr>
          <w:rFonts w:ascii="Arial" w:eastAsiaTheme="minorHAnsi" w:hAnsi="Arial" w:cs="Arial"/>
          <w:bCs/>
          <w:i/>
        </w:rPr>
      </w:pPr>
      <w:r w:rsidRPr="00B66216">
        <w:rPr>
          <w:rFonts w:ascii="Arial" w:eastAsiaTheme="minorHAnsi" w:hAnsi="Arial" w:cs="Arial"/>
          <w:bCs/>
          <w:i/>
        </w:rPr>
        <w:t>The following revisions to Sections 302.2.1.3 and 302.2.2.1.2 were not part of the Public Comment Draft dated July 2017.</w:t>
      </w:r>
    </w:p>
    <w:p w:rsidR="00B66216" w:rsidRDefault="00B66216">
      <w:pPr>
        <w:autoSpaceDE w:val="0"/>
        <w:autoSpaceDN w:val="0"/>
        <w:adjustRightInd w:val="0"/>
        <w:rPr>
          <w:rFonts w:ascii="Arial" w:eastAsiaTheme="minorHAnsi" w:hAnsi="Arial" w:cs="Arial"/>
          <w:b/>
          <w:bCs/>
        </w:rPr>
      </w:pPr>
    </w:p>
    <w:p w:rsidR="00B66216" w:rsidRPr="00B33FBF" w:rsidRDefault="00B66216">
      <w:pPr>
        <w:autoSpaceDE w:val="0"/>
        <w:autoSpaceDN w:val="0"/>
        <w:adjustRightInd w:val="0"/>
        <w:rPr>
          <w:rFonts w:ascii="Arial" w:eastAsiaTheme="minorHAnsi" w:hAnsi="Arial" w:cs="Arial"/>
          <w:b/>
          <w:bCs/>
        </w:rPr>
      </w:pPr>
    </w:p>
    <w:p w:rsidR="00B66216" w:rsidRDefault="00B66216" w:rsidP="00B66216">
      <w:pPr>
        <w:widowControl w:val="0"/>
        <w:autoSpaceDE w:val="0"/>
        <w:autoSpaceDN w:val="0"/>
        <w:adjustRightInd w:val="0"/>
        <w:rPr>
          <w:rFonts w:ascii="Arial" w:hAnsi="Arial" w:cs="Arial"/>
        </w:rPr>
      </w:pPr>
      <w:r w:rsidRPr="00BE4162">
        <w:rPr>
          <w:rFonts w:ascii="Arial" w:hAnsi="Arial" w:cs="Arial"/>
          <w:b/>
          <w:bCs/>
        </w:rPr>
        <w:t xml:space="preserve">302.2.1.3 Grade marks. </w:t>
      </w:r>
      <w:r w:rsidRPr="00BE4162">
        <w:rPr>
          <w:rFonts w:ascii="Arial" w:hAnsi="Arial" w:cs="Arial"/>
        </w:rPr>
        <w:t>Grade marks or Certificates of</w:t>
      </w:r>
      <w:r>
        <w:rPr>
          <w:rFonts w:ascii="Arial" w:hAnsi="Arial" w:cs="Arial"/>
        </w:rPr>
        <w:t xml:space="preserve"> </w:t>
      </w:r>
      <w:r w:rsidRPr="00BE4162">
        <w:rPr>
          <w:rFonts w:ascii="Arial" w:hAnsi="Arial" w:cs="Arial"/>
        </w:rPr>
        <w:t>Inspection shall include the following information:</w:t>
      </w:r>
    </w:p>
    <w:p w:rsidR="00B66216" w:rsidRPr="00BE4162" w:rsidRDefault="00B66216" w:rsidP="00B66216">
      <w:pPr>
        <w:widowControl w:val="0"/>
        <w:autoSpaceDE w:val="0"/>
        <w:autoSpaceDN w:val="0"/>
        <w:adjustRightInd w:val="0"/>
        <w:rPr>
          <w:rFonts w:ascii="Arial" w:hAnsi="Arial" w:cs="Arial"/>
        </w:rPr>
      </w:pPr>
    </w:p>
    <w:p w:rsidR="00B66216" w:rsidRPr="00BE4162" w:rsidRDefault="00B66216" w:rsidP="00B66216">
      <w:pPr>
        <w:widowControl w:val="0"/>
        <w:autoSpaceDE w:val="0"/>
        <w:autoSpaceDN w:val="0"/>
        <w:adjustRightInd w:val="0"/>
        <w:ind w:left="360"/>
        <w:rPr>
          <w:rFonts w:ascii="Arial" w:hAnsi="Arial" w:cs="Arial"/>
        </w:rPr>
      </w:pPr>
      <w:r w:rsidRPr="00BE4162">
        <w:rPr>
          <w:rFonts w:ascii="Arial" w:hAnsi="Arial" w:cs="Arial"/>
        </w:rPr>
        <w:t>1. Name or registered trade mark of the accredited</w:t>
      </w:r>
    </w:p>
    <w:p w:rsidR="00B66216" w:rsidRDefault="00B66216" w:rsidP="00B66216">
      <w:pPr>
        <w:widowControl w:val="0"/>
        <w:autoSpaceDE w:val="0"/>
        <w:autoSpaceDN w:val="0"/>
        <w:adjustRightInd w:val="0"/>
        <w:ind w:left="360"/>
        <w:rPr>
          <w:rFonts w:ascii="Arial" w:hAnsi="Arial" w:cs="Arial"/>
        </w:rPr>
      </w:pPr>
      <w:proofErr w:type="gramStart"/>
      <w:r>
        <w:rPr>
          <w:rFonts w:ascii="Arial" w:hAnsi="Arial" w:cs="Arial"/>
        </w:rPr>
        <w:t>grading</w:t>
      </w:r>
      <w:proofErr w:type="gramEnd"/>
      <w:r>
        <w:rPr>
          <w:rFonts w:ascii="Arial" w:hAnsi="Arial" w:cs="Arial"/>
        </w:rPr>
        <w:t xml:space="preserve"> agency.</w:t>
      </w:r>
    </w:p>
    <w:p w:rsidR="00B66216" w:rsidRPr="00BE4162" w:rsidRDefault="00B66216" w:rsidP="00B66216">
      <w:pPr>
        <w:widowControl w:val="0"/>
        <w:autoSpaceDE w:val="0"/>
        <w:autoSpaceDN w:val="0"/>
        <w:adjustRightInd w:val="0"/>
        <w:ind w:left="360"/>
        <w:rPr>
          <w:rFonts w:ascii="Arial" w:hAnsi="Arial" w:cs="Arial"/>
        </w:rPr>
      </w:pPr>
    </w:p>
    <w:p w:rsidR="00B66216" w:rsidRDefault="00B66216" w:rsidP="00B66216">
      <w:pPr>
        <w:widowControl w:val="0"/>
        <w:autoSpaceDE w:val="0"/>
        <w:autoSpaceDN w:val="0"/>
        <w:adjustRightInd w:val="0"/>
        <w:ind w:left="360"/>
        <w:rPr>
          <w:rFonts w:ascii="Arial" w:hAnsi="Arial" w:cs="Arial"/>
        </w:rPr>
      </w:pPr>
      <w:r w:rsidRPr="00BE4162">
        <w:rPr>
          <w:rFonts w:ascii="Arial" w:hAnsi="Arial" w:cs="Arial"/>
        </w:rPr>
        <w:t>2. Name or identification number of the manufacturer.</w:t>
      </w:r>
    </w:p>
    <w:p w:rsidR="00B66216" w:rsidRPr="00BE4162" w:rsidRDefault="00B66216" w:rsidP="00B66216">
      <w:pPr>
        <w:widowControl w:val="0"/>
        <w:autoSpaceDE w:val="0"/>
        <w:autoSpaceDN w:val="0"/>
        <w:adjustRightInd w:val="0"/>
        <w:ind w:left="360"/>
        <w:rPr>
          <w:rFonts w:ascii="Arial" w:hAnsi="Arial" w:cs="Arial"/>
        </w:rPr>
      </w:pPr>
    </w:p>
    <w:p w:rsidR="00B66216" w:rsidRDefault="00B66216" w:rsidP="00B66216">
      <w:pPr>
        <w:widowControl w:val="0"/>
        <w:autoSpaceDE w:val="0"/>
        <w:autoSpaceDN w:val="0"/>
        <w:adjustRightInd w:val="0"/>
        <w:ind w:left="360"/>
        <w:rPr>
          <w:rFonts w:ascii="Arial" w:hAnsi="Arial" w:cs="Arial"/>
        </w:rPr>
      </w:pPr>
      <w:r>
        <w:rPr>
          <w:rFonts w:ascii="Arial" w:hAnsi="Arial" w:cs="Arial"/>
        </w:rPr>
        <w:t>3. Species of logs.</w:t>
      </w:r>
    </w:p>
    <w:p w:rsidR="00B66216" w:rsidRPr="00BE4162" w:rsidRDefault="00B66216" w:rsidP="00B66216">
      <w:pPr>
        <w:widowControl w:val="0"/>
        <w:autoSpaceDE w:val="0"/>
        <w:autoSpaceDN w:val="0"/>
        <w:adjustRightInd w:val="0"/>
        <w:ind w:left="360"/>
        <w:rPr>
          <w:rFonts w:ascii="Arial" w:hAnsi="Arial" w:cs="Arial"/>
        </w:rPr>
      </w:pPr>
    </w:p>
    <w:p w:rsidR="00B66216" w:rsidRDefault="00B66216" w:rsidP="00B66216">
      <w:pPr>
        <w:widowControl w:val="0"/>
        <w:autoSpaceDE w:val="0"/>
        <w:autoSpaceDN w:val="0"/>
        <w:adjustRightInd w:val="0"/>
        <w:ind w:left="360"/>
        <w:rPr>
          <w:rFonts w:ascii="Arial" w:hAnsi="Arial" w:cs="Arial"/>
        </w:rPr>
      </w:pPr>
      <w:r w:rsidRPr="00BE4162">
        <w:rPr>
          <w:rFonts w:ascii="Arial" w:hAnsi="Arial" w:cs="Arial"/>
        </w:rPr>
        <w:t>4. Grade name or designation</w:t>
      </w:r>
      <w:r>
        <w:rPr>
          <w:rFonts w:ascii="Arial" w:hAnsi="Arial" w:cs="Arial"/>
        </w:rPr>
        <w:t>.</w:t>
      </w:r>
    </w:p>
    <w:p w:rsidR="00B66216" w:rsidRPr="00BE4162" w:rsidRDefault="00B66216" w:rsidP="00B66216">
      <w:pPr>
        <w:widowControl w:val="0"/>
        <w:autoSpaceDE w:val="0"/>
        <w:autoSpaceDN w:val="0"/>
        <w:adjustRightInd w:val="0"/>
        <w:ind w:left="360"/>
        <w:rPr>
          <w:rFonts w:ascii="Arial" w:hAnsi="Arial" w:cs="Arial"/>
        </w:rPr>
      </w:pPr>
    </w:p>
    <w:p w:rsidR="00B66216" w:rsidRDefault="00B66216" w:rsidP="00B66216">
      <w:pPr>
        <w:widowControl w:val="0"/>
        <w:autoSpaceDE w:val="0"/>
        <w:autoSpaceDN w:val="0"/>
        <w:adjustRightInd w:val="0"/>
        <w:ind w:left="360"/>
        <w:rPr>
          <w:rFonts w:ascii="Arial" w:hAnsi="Arial" w:cs="Arial"/>
          <w:b/>
        </w:rPr>
      </w:pPr>
      <w:r w:rsidRPr="00BE4162">
        <w:rPr>
          <w:rFonts w:ascii="Arial" w:hAnsi="Arial" w:cs="Arial"/>
        </w:rPr>
        <w:t xml:space="preserve">5. </w:t>
      </w:r>
      <w:r w:rsidRPr="00485E7E">
        <w:rPr>
          <w:rFonts w:ascii="Arial" w:hAnsi="Arial" w:cs="Arial"/>
          <w:u w:val="single"/>
        </w:rPr>
        <w:t>Labeled</w:t>
      </w:r>
      <w:r>
        <w:rPr>
          <w:rFonts w:ascii="Arial" w:hAnsi="Arial" w:cs="Arial"/>
        </w:rPr>
        <w:t xml:space="preserve"> m</w:t>
      </w:r>
      <w:r w:rsidRPr="00BE4162">
        <w:rPr>
          <w:rFonts w:ascii="Arial" w:hAnsi="Arial" w:cs="Arial"/>
        </w:rPr>
        <w:t>oisture content at time of</w:t>
      </w:r>
      <w:r>
        <w:rPr>
          <w:rFonts w:ascii="Arial" w:hAnsi="Arial" w:cs="Arial"/>
        </w:rPr>
        <w:t xml:space="preserve"> grading. </w:t>
      </w:r>
      <w:r>
        <w:rPr>
          <w:rFonts w:ascii="Arial" w:hAnsi="Arial" w:cs="Arial"/>
          <w:b/>
        </w:rPr>
        <w:t xml:space="preserve"> </w:t>
      </w:r>
    </w:p>
    <w:p w:rsidR="00B66216" w:rsidRDefault="00B66216" w:rsidP="00B66216">
      <w:pPr>
        <w:widowControl w:val="0"/>
        <w:autoSpaceDE w:val="0"/>
        <w:autoSpaceDN w:val="0"/>
        <w:adjustRightInd w:val="0"/>
        <w:ind w:left="360"/>
      </w:pPr>
    </w:p>
    <w:p w:rsidR="00B66216" w:rsidRDefault="00B66216" w:rsidP="00B66216">
      <w:r w:rsidRPr="00CE346B">
        <w:rPr>
          <w:rFonts w:ascii="Arial" w:hAnsi="Arial" w:cs="Arial"/>
          <w:b/>
          <w:bCs/>
        </w:rPr>
        <w:t xml:space="preserve">302.2.2.1.2 </w:t>
      </w:r>
      <w:r w:rsidRPr="00CE346B">
        <w:rPr>
          <w:rFonts w:ascii="Arial" w:hAnsi="Arial" w:cs="Arial"/>
          <w:b/>
          <w:bCs/>
          <w:strike/>
        </w:rPr>
        <w:t>Certified</w:t>
      </w:r>
      <w:r w:rsidRPr="00CE346B">
        <w:rPr>
          <w:rFonts w:ascii="Arial" w:hAnsi="Arial" w:cs="Arial"/>
          <w:b/>
          <w:bCs/>
        </w:rPr>
        <w:t xml:space="preserve"> </w:t>
      </w:r>
      <w:r w:rsidRPr="00CE346B">
        <w:rPr>
          <w:rFonts w:ascii="Arial" w:hAnsi="Arial" w:cs="Arial"/>
          <w:b/>
          <w:bCs/>
          <w:u w:val="single"/>
        </w:rPr>
        <w:t xml:space="preserve">Labeled </w:t>
      </w:r>
      <w:r w:rsidRPr="00CE346B">
        <w:rPr>
          <w:rFonts w:ascii="Arial" w:hAnsi="Arial" w:cs="Arial"/>
          <w:b/>
          <w:bCs/>
        </w:rPr>
        <w:t xml:space="preserve">specification. </w:t>
      </w:r>
      <w:r w:rsidRPr="00CE346B">
        <w:rPr>
          <w:rFonts w:ascii="Arial" w:hAnsi="Arial" w:cs="Arial"/>
        </w:rPr>
        <w:t xml:space="preserve">The design moisture content shall be equal to the moisture content determined </w:t>
      </w:r>
      <w:r w:rsidRPr="00CE346B">
        <w:rPr>
          <w:rFonts w:ascii="Arial" w:hAnsi="Arial" w:cs="Arial"/>
          <w:strike/>
        </w:rPr>
        <w:t>and</w:t>
      </w:r>
      <w:r w:rsidRPr="00CE346B">
        <w:rPr>
          <w:rFonts w:ascii="Arial" w:hAnsi="Arial" w:cs="Arial"/>
        </w:rPr>
        <w:t xml:space="preserve"> </w:t>
      </w:r>
      <w:r w:rsidRPr="00CE346B">
        <w:rPr>
          <w:rFonts w:ascii="Arial" w:hAnsi="Arial" w:cs="Arial"/>
          <w:strike/>
        </w:rPr>
        <w:t>certified</w:t>
      </w:r>
      <w:r w:rsidRPr="00CE346B">
        <w:rPr>
          <w:rFonts w:ascii="Arial" w:hAnsi="Arial" w:cs="Arial"/>
        </w:rPr>
        <w:t xml:space="preserve"> by methods prescribed by an accredited third-party grading agency.</w:t>
      </w:r>
    </w:p>
    <w:p w:rsidR="00805A63" w:rsidRDefault="00805A63" w:rsidP="00805A63">
      <w:pPr>
        <w:jc w:val="center"/>
        <w:rPr>
          <w:rFonts w:ascii="Arial" w:hAnsi="Arial" w:cs="Arial"/>
          <w:b/>
          <w:bCs/>
        </w:rPr>
      </w:pPr>
    </w:p>
    <w:p w:rsidR="00805A63" w:rsidRDefault="00805A63">
      <w:pPr>
        <w:spacing w:after="200" w:line="276" w:lineRule="auto"/>
        <w:rPr>
          <w:rFonts w:ascii="Arial" w:eastAsiaTheme="minorHAnsi" w:hAnsi="Arial" w:cs="Arial"/>
          <w:bCs/>
          <w:i/>
        </w:rPr>
      </w:pPr>
      <w:r>
        <w:rPr>
          <w:rFonts w:ascii="Arial" w:eastAsiaTheme="minorHAnsi" w:hAnsi="Arial" w:cs="Arial"/>
          <w:bCs/>
          <w:i/>
        </w:rPr>
        <w:br w:type="page"/>
      </w:r>
    </w:p>
    <w:p w:rsidR="00C206D2" w:rsidRDefault="00805A63">
      <w:pPr>
        <w:spacing w:after="200" w:line="276" w:lineRule="auto"/>
        <w:rPr>
          <w:rFonts w:ascii="Arial" w:hAnsi="Arial" w:cs="Arial"/>
          <w:b/>
          <w:bCs/>
        </w:rPr>
      </w:pPr>
      <w:r w:rsidRPr="00B66216">
        <w:rPr>
          <w:rFonts w:ascii="Arial" w:eastAsiaTheme="minorHAnsi" w:hAnsi="Arial" w:cs="Arial"/>
          <w:bCs/>
          <w:i/>
        </w:rPr>
        <w:t xml:space="preserve">The following </w:t>
      </w:r>
      <w:r>
        <w:rPr>
          <w:rFonts w:ascii="Arial" w:eastAsiaTheme="minorHAnsi" w:hAnsi="Arial" w:cs="Arial"/>
          <w:bCs/>
          <w:i/>
        </w:rPr>
        <w:t xml:space="preserve">highlighted </w:t>
      </w:r>
      <w:r w:rsidRPr="00B66216">
        <w:rPr>
          <w:rFonts w:ascii="Arial" w:eastAsiaTheme="minorHAnsi" w:hAnsi="Arial" w:cs="Arial"/>
          <w:bCs/>
          <w:i/>
        </w:rPr>
        <w:t>revisions to Sections 30</w:t>
      </w:r>
      <w:r>
        <w:rPr>
          <w:rFonts w:ascii="Arial" w:eastAsiaTheme="minorHAnsi" w:hAnsi="Arial" w:cs="Arial"/>
          <w:bCs/>
          <w:i/>
        </w:rPr>
        <w:t>4.3.2</w:t>
      </w:r>
      <w:r w:rsidRPr="00B66216">
        <w:rPr>
          <w:rFonts w:ascii="Arial" w:eastAsiaTheme="minorHAnsi" w:hAnsi="Arial" w:cs="Arial"/>
          <w:bCs/>
          <w:i/>
        </w:rPr>
        <w:t xml:space="preserve"> and </w:t>
      </w:r>
      <w:r>
        <w:rPr>
          <w:rFonts w:ascii="Arial" w:eastAsiaTheme="minorHAnsi" w:hAnsi="Arial" w:cs="Arial"/>
          <w:bCs/>
          <w:i/>
        </w:rPr>
        <w:t xml:space="preserve">405.8 </w:t>
      </w:r>
      <w:r w:rsidRPr="00B66216">
        <w:rPr>
          <w:rFonts w:ascii="Arial" w:eastAsiaTheme="minorHAnsi" w:hAnsi="Arial" w:cs="Arial"/>
          <w:bCs/>
          <w:i/>
        </w:rPr>
        <w:t>were not part of the Public Comment Draft dated July 2017.</w:t>
      </w:r>
    </w:p>
    <w:p w:rsidR="00B66216" w:rsidRPr="00B33FBF" w:rsidRDefault="00B66216" w:rsidP="00B66216">
      <w:pPr>
        <w:jc w:val="center"/>
        <w:rPr>
          <w:rFonts w:ascii="Arial" w:hAnsi="Arial" w:cs="Arial"/>
          <w:b/>
          <w:bCs/>
        </w:rPr>
      </w:pPr>
      <w:r w:rsidRPr="00B33FBF">
        <w:rPr>
          <w:rFonts w:ascii="Arial" w:hAnsi="Arial" w:cs="Arial"/>
          <w:b/>
          <w:bCs/>
        </w:rPr>
        <w:t>SECTION 304</w:t>
      </w:r>
    </w:p>
    <w:p w:rsidR="00B66216" w:rsidRDefault="00B66216" w:rsidP="00B66216">
      <w:pPr>
        <w:jc w:val="center"/>
        <w:rPr>
          <w:rFonts w:ascii="Arial" w:hAnsi="Arial" w:cs="Arial"/>
          <w:b/>
          <w:bCs/>
        </w:rPr>
      </w:pPr>
      <w:r w:rsidRPr="00B33FBF">
        <w:rPr>
          <w:rFonts w:ascii="Arial" w:hAnsi="Arial" w:cs="Arial"/>
          <w:b/>
          <w:bCs/>
        </w:rPr>
        <w:t>PROVISIONS FOR SETTLING IN LOG STRUCTURES</w:t>
      </w:r>
    </w:p>
    <w:p w:rsidR="00C206D2" w:rsidRDefault="00B66216" w:rsidP="00B66216">
      <w:pPr>
        <w:widowControl w:val="0"/>
        <w:autoSpaceDE w:val="0"/>
        <w:autoSpaceDN w:val="0"/>
        <w:adjustRightInd w:val="0"/>
        <w:ind w:left="360"/>
        <w:rPr>
          <w:rFonts w:ascii="Arial" w:hAnsi="Arial" w:cs="Arial"/>
        </w:rPr>
      </w:pPr>
      <w:r w:rsidRPr="00B33FBF">
        <w:rPr>
          <w:rFonts w:ascii="Arial" w:hAnsi="Arial" w:cs="Arial"/>
          <w:b/>
          <w:bCs/>
        </w:rPr>
        <w:t xml:space="preserve">304.3.2 Sliding joint. </w:t>
      </w:r>
      <w:r w:rsidRPr="00B33FBF">
        <w:rPr>
          <w:rFonts w:ascii="Arial" w:hAnsi="Arial" w:cs="Arial"/>
        </w:rPr>
        <w:t>Vertical joints shall</w:t>
      </w:r>
      <w:r w:rsidRPr="00B33FBF">
        <w:rPr>
          <w:rFonts w:ascii="Arial" w:hAnsi="Arial" w:cs="Arial"/>
          <w:u w:val="single"/>
        </w:rPr>
        <w:t xml:space="preserve"> </w:t>
      </w:r>
      <w:proofErr w:type="spellStart"/>
      <w:r w:rsidRPr="00B33FBF">
        <w:rPr>
          <w:rFonts w:ascii="Arial" w:hAnsi="Arial" w:cs="Arial"/>
          <w:u w:val="single"/>
        </w:rPr>
        <w:t>accomodate</w:t>
      </w:r>
      <w:proofErr w:type="spellEnd"/>
      <w:r w:rsidRPr="00B33FBF">
        <w:rPr>
          <w:rFonts w:ascii="Arial" w:hAnsi="Arial" w:cs="Arial"/>
        </w:rPr>
        <w:t xml:space="preserve"> </w:t>
      </w:r>
      <w:r w:rsidRPr="00B33FBF">
        <w:rPr>
          <w:rFonts w:ascii="Arial" w:hAnsi="Arial" w:cs="Arial"/>
          <w:strike/>
        </w:rPr>
        <w:t>not restrict</w:t>
      </w:r>
      <w:r w:rsidRPr="00B33FBF">
        <w:rPr>
          <w:rFonts w:ascii="Arial" w:hAnsi="Arial" w:cs="Arial"/>
        </w:rPr>
        <w:t xml:space="preserve"> settling </w:t>
      </w:r>
      <w:r w:rsidRPr="00B33FBF">
        <w:rPr>
          <w:rFonts w:ascii="Arial" w:hAnsi="Arial" w:cs="Arial"/>
          <w:strike/>
        </w:rPr>
        <w:t xml:space="preserve">at log wall interface. Examples include but </w:t>
      </w:r>
      <w:proofErr w:type="spellStart"/>
      <w:r w:rsidRPr="00B33FBF">
        <w:rPr>
          <w:rFonts w:ascii="Arial" w:hAnsi="Arial" w:cs="Arial"/>
          <w:strike/>
        </w:rPr>
        <w:t>d are</w:t>
      </w:r>
      <w:proofErr w:type="spellEnd"/>
      <w:r w:rsidRPr="00B33FBF">
        <w:rPr>
          <w:rFonts w:ascii="Arial" w:hAnsi="Arial" w:cs="Arial"/>
        </w:rPr>
        <w:t xml:space="preserve"> </w:t>
      </w:r>
      <w:r w:rsidRPr="00B66216">
        <w:rPr>
          <w:rFonts w:ascii="Arial" w:hAnsi="Arial" w:cs="Arial"/>
          <w:highlight w:val="yellow"/>
          <w:u w:val="single"/>
        </w:rPr>
        <w:t>including but</w:t>
      </w:r>
      <w:r>
        <w:rPr>
          <w:rFonts w:ascii="Arial" w:hAnsi="Arial" w:cs="Arial"/>
          <w:u w:val="single"/>
        </w:rPr>
        <w:t xml:space="preserve"> </w:t>
      </w:r>
      <w:r w:rsidRPr="00B33FBF">
        <w:rPr>
          <w:rFonts w:ascii="Arial" w:hAnsi="Arial" w:cs="Arial"/>
        </w:rPr>
        <w:t>not limited to the buck system installed at the sides of log wall openings, frame-wall intersections, cabinet installation, trim application, fireplaces and chimneys.</w:t>
      </w:r>
    </w:p>
    <w:p w:rsidR="00805A63" w:rsidRDefault="00805A63" w:rsidP="00B66216">
      <w:pPr>
        <w:widowControl w:val="0"/>
        <w:autoSpaceDE w:val="0"/>
        <w:autoSpaceDN w:val="0"/>
        <w:adjustRightInd w:val="0"/>
        <w:ind w:left="360"/>
        <w:rPr>
          <w:rFonts w:ascii="Arial" w:hAnsi="Arial" w:cs="Arial"/>
        </w:rPr>
      </w:pPr>
    </w:p>
    <w:p w:rsidR="00805A63" w:rsidRPr="00B33FBF" w:rsidRDefault="00805A63" w:rsidP="00805A63">
      <w:pPr>
        <w:jc w:val="center"/>
        <w:rPr>
          <w:rFonts w:ascii="Arial" w:hAnsi="Arial" w:cs="Arial"/>
          <w:b/>
        </w:rPr>
      </w:pPr>
      <w:r w:rsidRPr="00B33FBF">
        <w:rPr>
          <w:rFonts w:ascii="Arial" w:hAnsi="Arial" w:cs="Arial"/>
          <w:b/>
        </w:rPr>
        <w:t>SECTION 405</w:t>
      </w:r>
    </w:p>
    <w:p w:rsidR="00805A63" w:rsidRPr="00B33FBF" w:rsidRDefault="00805A63" w:rsidP="00805A63">
      <w:pPr>
        <w:jc w:val="center"/>
        <w:rPr>
          <w:rFonts w:ascii="Arial" w:hAnsi="Arial" w:cs="Arial"/>
          <w:b/>
        </w:rPr>
      </w:pPr>
      <w:r w:rsidRPr="00B33FBF">
        <w:rPr>
          <w:rFonts w:ascii="Arial" w:hAnsi="Arial" w:cs="Arial"/>
          <w:b/>
        </w:rPr>
        <w:t>FLOOR SYSTEMS</w:t>
      </w:r>
    </w:p>
    <w:p w:rsidR="00B66216" w:rsidRPr="00B66216" w:rsidRDefault="00B66216" w:rsidP="00B66216">
      <w:pPr>
        <w:widowControl w:val="0"/>
        <w:autoSpaceDE w:val="0"/>
        <w:autoSpaceDN w:val="0"/>
        <w:adjustRightInd w:val="0"/>
        <w:ind w:left="360"/>
        <w:rPr>
          <w:rFonts w:ascii="Arial" w:hAnsi="Arial" w:cs="Arial"/>
        </w:rPr>
      </w:pPr>
    </w:p>
    <w:p w:rsidR="00B66216" w:rsidRPr="00B33FBF" w:rsidRDefault="00B66216" w:rsidP="00B66216">
      <w:pPr>
        <w:widowControl w:val="0"/>
        <w:autoSpaceDE w:val="0"/>
        <w:autoSpaceDN w:val="0"/>
        <w:adjustRightInd w:val="0"/>
        <w:rPr>
          <w:rFonts w:ascii="Arial" w:hAnsi="Arial" w:cs="Arial"/>
        </w:rPr>
      </w:pPr>
      <w:r w:rsidRPr="00B33FBF">
        <w:rPr>
          <w:rFonts w:ascii="Arial" w:hAnsi="Arial" w:cs="Arial"/>
          <w:b/>
          <w:bCs/>
        </w:rPr>
        <w:t xml:space="preserve">405.8 Floor openings. </w:t>
      </w:r>
      <w:r w:rsidRPr="00B33FBF">
        <w:rPr>
          <w:rFonts w:ascii="Arial" w:hAnsi="Arial" w:cs="Arial"/>
        </w:rPr>
        <w:t xml:space="preserve">Framing around floor openings shall be designed to transfer loads to adjacent framing members that are designed to support the additional concentrated loads. Fasteners, connections, and stiffeners shall be designed for the loading conditions. Where the edge of the opening is less than 2 feet (610 mm) from </w:t>
      </w:r>
      <w:proofErr w:type="gramStart"/>
      <w:r w:rsidRPr="00B33FBF">
        <w:rPr>
          <w:rFonts w:ascii="Arial" w:hAnsi="Arial" w:cs="Arial"/>
        </w:rPr>
        <w:t>a</w:t>
      </w:r>
      <w:r w:rsidRPr="00B33FBF">
        <w:rPr>
          <w:rFonts w:ascii="Arial" w:hAnsi="Arial" w:cs="Arial"/>
          <w:strike/>
        </w:rPr>
        <w:t>n</w:t>
      </w:r>
      <w:proofErr w:type="gramEnd"/>
      <w:r w:rsidRPr="00B33FBF">
        <w:rPr>
          <w:rFonts w:ascii="Arial" w:hAnsi="Arial" w:cs="Arial"/>
        </w:rPr>
        <w:t xml:space="preserve"> </w:t>
      </w:r>
      <w:r w:rsidRPr="00B33FBF">
        <w:rPr>
          <w:rFonts w:ascii="Arial" w:hAnsi="Arial" w:cs="Arial"/>
          <w:u w:val="single"/>
        </w:rPr>
        <w:t xml:space="preserve">bearing </w:t>
      </w:r>
      <w:r w:rsidRPr="00B33FBF">
        <w:rPr>
          <w:rFonts w:ascii="Arial" w:hAnsi="Arial" w:cs="Arial"/>
          <w:strike/>
        </w:rPr>
        <w:t>exterior</w:t>
      </w:r>
      <w:r w:rsidRPr="00B33FBF">
        <w:rPr>
          <w:rFonts w:ascii="Arial" w:hAnsi="Arial" w:cs="Arial"/>
        </w:rPr>
        <w:t xml:space="preserve"> wall, the </w:t>
      </w:r>
      <w:r w:rsidRPr="00B33FBF">
        <w:rPr>
          <w:rFonts w:ascii="Arial" w:hAnsi="Arial" w:cs="Arial"/>
          <w:u w:val="single"/>
        </w:rPr>
        <w:t xml:space="preserve">bearing </w:t>
      </w:r>
      <w:r w:rsidRPr="00B33FBF">
        <w:rPr>
          <w:rFonts w:ascii="Arial" w:hAnsi="Arial" w:cs="Arial"/>
          <w:strike/>
        </w:rPr>
        <w:t>exterior</w:t>
      </w:r>
      <w:r w:rsidRPr="00B33FBF">
        <w:rPr>
          <w:rFonts w:ascii="Arial" w:hAnsi="Arial" w:cs="Arial"/>
        </w:rPr>
        <w:t xml:space="preserve"> wall adjacent to the opening shall be designed to resist </w:t>
      </w:r>
      <w:r w:rsidRPr="00B33FBF">
        <w:rPr>
          <w:rFonts w:ascii="Arial" w:hAnsi="Arial" w:cs="Arial"/>
          <w:u w:val="single"/>
        </w:rPr>
        <w:t xml:space="preserve">applicable </w:t>
      </w:r>
      <w:r w:rsidRPr="00B33FBF">
        <w:rPr>
          <w:rFonts w:ascii="Arial" w:hAnsi="Arial" w:cs="Arial"/>
        </w:rPr>
        <w:t>gravity</w:t>
      </w:r>
      <w:r w:rsidRPr="00B66216">
        <w:rPr>
          <w:rFonts w:ascii="Arial" w:hAnsi="Arial" w:cs="Arial"/>
          <w:highlight w:val="yellow"/>
        </w:rPr>
        <w:t>, lateral, and uplift loads</w:t>
      </w:r>
      <w:r w:rsidRPr="00B33FBF">
        <w:rPr>
          <w:rFonts w:ascii="Arial" w:hAnsi="Arial" w:cs="Arial"/>
          <w:strike/>
        </w:rPr>
        <w:t xml:space="preserve"> at that location</w:t>
      </w:r>
      <w:r w:rsidRPr="00B33FBF">
        <w:rPr>
          <w:rFonts w:ascii="Arial" w:hAnsi="Arial" w:cs="Arial"/>
        </w:rPr>
        <w:t>.</w:t>
      </w:r>
    </w:p>
    <w:sectPr w:rsidR="00B66216" w:rsidRPr="00B33F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DB7" w:rsidRDefault="00C01DB7" w:rsidP="00C01DB7">
      <w:r>
        <w:separator/>
      </w:r>
    </w:p>
  </w:endnote>
  <w:endnote w:type="continuationSeparator" w:id="0">
    <w:p w:rsidR="00C01DB7" w:rsidRDefault="00C01DB7" w:rsidP="00C0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B7" w:rsidRDefault="00C01DB7" w:rsidP="00C01DB7">
    <w:pPr>
      <w:pStyle w:val="Footer"/>
      <w:pBdr>
        <w:top w:val="thinThickSmallGap" w:sz="24" w:space="1" w:color="622423" w:themeColor="accent2" w:themeShade="7F"/>
      </w:pBdr>
      <w:rPr>
        <w:rFonts w:asciiTheme="majorHAnsi" w:eastAsiaTheme="majorEastAsia" w:hAnsiTheme="majorHAnsi" w:cstheme="majorBidi"/>
        <w:sz w:val="20"/>
        <w:szCs w:val="20"/>
      </w:rPr>
    </w:pPr>
    <w:r>
      <w:rPr>
        <w:rFonts w:asciiTheme="majorHAnsi" w:eastAsiaTheme="majorEastAsia" w:hAnsiTheme="majorHAnsi" w:cstheme="majorBidi"/>
        <w:sz w:val="20"/>
        <w:szCs w:val="20"/>
      </w:rPr>
      <w:t>Standard on the Design and Construction of Log Structures</w:t>
    </w:r>
    <w:r w:rsidR="006765E2">
      <w:rPr>
        <w:rFonts w:asciiTheme="majorHAnsi" w:eastAsiaTheme="majorEastAsia" w:hAnsiTheme="majorHAnsi" w:cstheme="majorBidi"/>
        <w:sz w:val="20"/>
        <w:szCs w:val="20"/>
      </w:rPr>
      <w:t xml:space="preserve"> </w:t>
    </w:r>
  </w:p>
  <w:p w:rsidR="00C01DB7" w:rsidRDefault="00C01DB7" w:rsidP="00C01DB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ICC 4</w:t>
    </w:r>
    <w:r w:rsidRPr="00C01DB7">
      <w:rPr>
        <w:rFonts w:asciiTheme="majorHAnsi" w:eastAsiaTheme="majorEastAsia" w:hAnsiTheme="majorHAnsi" w:cstheme="majorBidi"/>
        <w:sz w:val="20"/>
        <w:szCs w:val="20"/>
      </w:rPr>
      <w:t xml:space="preserve">00 Public </w:t>
    </w:r>
    <w:r w:rsidR="00C206D2">
      <w:rPr>
        <w:rFonts w:asciiTheme="majorHAnsi" w:eastAsiaTheme="majorEastAsia" w:hAnsiTheme="majorHAnsi" w:cstheme="majorBidi"/>
        <w:sz w:val="20"/>
        <w:szCs w:val="20"/>
      </w:rPr>
      <w:t>Comment</w:t>
    </w:r>
    <w:r>
      <w:rPr>
        <w:rFonts w:asciiTheme="majorHAnsi" w:eastAsiaTheme="majorEastAsia" w:hAnsiTheme="majorHAnsi" w:cstheme="majorBidi"/>
        <w:sz w:val="20"/>
        <w:szCs w:val="20"/>
      </w:rPr>
      <w:t xml:space="preserve"> Draft—</w:t>
    </w:r>
    <w:r w:rsidR="00C206D2">
      <w:rPr>
        <w:rFonts w:asciiTheme="majorHAnsi" w:eastAsiaTheme="majorEastAsia" w:hAnsiTheme="majorHAnsi" w:cstheme="majorBidi"/>
        <w:sz w:val="20"/>
        <w:szCs w:val="20"/>
      </w:rPr>
      <w:t>July</w:t>
    </w:r>
    <w:r>
      <w:rPr>
        <w:rFonts w:asciiTheme="majorHAnsi" w:eastAsiaTheme="majorEastAsia" w:hAnsiTheme="majorHAnsi" w:cstheme="majorBidi"/>
        <w:sz w:val="20"/>
        <w:szCs w:val="20"/>
      </w:rPr>
      <w:t xml:space="preserve"> 2017</w:t>
    </w:r>
    <w:r w:rsidR="006765E2">
      <w:rPr>
        <w:rFonts w:asciiTheme="majorHAnsi" w:eastAsiaTheme="majorEastAsia" w:hAnsiTheme="majorHAnsi" w:cstheme="majorBidi"/>
        <w:sz w:val="20"/>
        <w:szCs w:val="20"/>
      </w:rPr>
      <w:t xml:space="preserve"> </w:t>
    </w:r>
    <w:r w:rsidR="00805A63">
      <w:rPr>
        <w:rFonts w:asciiTheme="majorHAnsi" w:eastAsiaTheme="majorEastAsia" w:hAnsiTheme="majorHAnsi" w:cstheme="majorBidi"/>
        <w:sz w:val="20"/>
        <w:szCs w:val="20"/>
      </w:rPr>
      <w:t>–</w:t>
    </w:r>
    <w:r w:rsidR="006765E2" w:rsidRPr="006765E2">
      <w:rPr>
        <w:rFonts w:asciiTheme="majorHAnsi" w:eastAsiaTheme="majorEastAsia" w:hAnsiTheme="majorHAnsi" w:cstheme="majorBidi"/>
        <w:bCs/>
        <w:sz w:val="20"/>
        <w:szCs w:val="20"/>
      </w:rPr>
      <w:t xml:space="preserve"> </w:t>
    </w:r>
    <w:r w:rsidR="00805A63">
      <w:rPr>
        <w:rFonts w:asciiTheme="majorHAnsi" w:eastAsiaTheme="majorEastAsia" w:hAnsiTheme="majorHAnsi" w:cstheme="majorBidi"/>
        <w:bCs/>
        <w:sz w:val="20"/>
        <w:szCs w:val="20"/>
      </w:rPr>
      <w:t>Addendum 1 - August 9, 2017</w:t>
    </w:r>
    <w:r w:rsidR="006765E2" w:rsidRPr="006765E2">
      <w:rPr>
        <w:rFonts w:asciiTheme="majorHAnsi" w:eastAsiaTheme="majorEastAsia" w:hAnsiTheme="majorHAnsi" w:cstheme="majorBidi"/>
        <w:bCs/>
        <w:sz w:val="20"/>
        <w:szCs w:val="20"/>
      </w:rPr>
      <w:t>Copyright © 2017 International Code Council, Inc</w:t>
    </w:r>
    <w:proofErr w:type="gramStart"/>
    <w:r w:rsidR="006765E2" w:rsidRPr="006765E2">
      <w:rPr>
        <w:rFonts w:asciiTheme="majorHAnsi" w:eastAsiaTheme="majorEastAsia" w:hAnsiTheme="majorHAnsi" w:cstheme="majorBidi"/>
        <w:bCs/>
        <w:sz w:val="20"/>
        <w:szCs w:val="20"/>
      </w:rPr>
      <w:t>.</w:t>
    </w:r>
    <w:proofErr w:type="gramEnd"/>
    <w:r w:rsidRPr="00C01DB7">
      <w:rPr>
        <w:rFonts w:asciiTheme="majorHAnsi" w:eastAsiaTheme="majorEastAsia" w:hAnsiTheme="majorHAnsi" w:cstheme="majorBidi"/>
        <w:sz w:val="20"/>
        <w:szCs w:val="20"/>
      </w:rPr>
      <w:ptab w:relativeTo="margin" w:alignment="right" w:leader="none"/>
    </w:r>
    <w:r w:rsidRPr="00C01DB7">
      <w:rPr>
        <w:rFonts w:asciiTheme="majorHAnsi" w:eastAsiaTheme="majorEastAsia" w:hAnsiTheme="majorHAnsi" w:cstheme="majorBidi"/>
        <w:sz w:val="20"/>
        <w:szCs w:val="20"/>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05A63" w:rsidRPr="00805A63">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01DB7" w:rsidRDefault="00C01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DB7" w:rsidRDefault="00C01DB7" w:rsidP="00C01DB7">
      <w:r>
        <w:separator/>
      </w:r>
    </w:p>
  </w:footnote>
  <w:footnote w:type="continuationSeparator" w:id="0">
    <w:p w:rsidR="00C01DB7" w:rsidRDefault="00C01DB7" w:rsidP="00C01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E7082"/>
    <w:multiLevelType w:val="hybridMultilevel"/>
    <w:tmpl w:val="5890F5CC"/>
    <w:lvl w:ilvl="0" w:tplc="A14091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ACD"/>
    <w:rsid w:val="00002908"/>
    <w:rsid w:val="00034444"/>
    <w:rsid w:val="0003592B"/>
    <w:rsid w:val="000B20E7"/>
    <w:rsid w:val="001825D3"/>
    <w:rsid w:val="001C3D22"/>
    <w:rsid w:val="0022098B"/>
    <w:rsid w:val="00223FD1"/>
    <w:rsid w:val="002332BE"/>
    <w:rsid w:val="002C041A"/>
    <w:rsid w:val="003079B8"/>
    <w:rsid w:val="003356C4"/>
    <w:rsid w:val="0039261F"/>
    <w:rsid w:val="003C63C1"/>
    <w:rsid w:val="003E3ACD"/>
    <w:rsid w:val="004225B7"/>
    <w:rsid w:val="004505E9"/>
    <w:rsid w:val="00456AAA"/>
    <w:rsid w:val="004B7D68"/>
    <w:rsid w:val="005B5378"/>
    <w:rsid w:val="005C7153"/>
    <w:rsid w:val="0062322F"/>
    <w:rsid w:val="006765E2"/>
    <w:rsid w:val="006A4058"/>
    <w:rsid w:val="00791D59"/>
    <w:rsid w:val="00805A63"/>
    <w:rsid w:val="008354BB"/>
    <w:rsid w:val="00882D71"/>
    <w:rsid w:val="008D07FC"/>
    <w:rsid w:val="00944807"/>
    <w:rsid w:val="009B0985"/>
    <w:rsid w:val="00A17ED3"/>
    <w:rsid w:val="00A21A8D"/>
    <w:rsid w:val="00B33FBF"/>
    <w:rsid w:val="00B66216"/>
    <w:rsid w:val="00C01DB7"/>
    <w:rsid w:val="00C206D2"/>
    <w:rsid w:val="00C60E93"/>
    <w:rsid w:val="00C6397D"/>
    <w:rsid w:val="00C9372A"/>
    <w:rsid w:val="00C9769C"/>
    <w:rsid w:val="00D91871"/>
    <w:rsid w:val="00F729CD"/>
    <w:rsid w:val="00FB0571"/>
    <w:rsid w:val="00FB38C2"/>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15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3592B"/>
    <w:rPr>
      <w:rFonts w:ascii="Tahoma" w:hAnsi="Tahoma" w:cs="Tahoma"/>
      <w:sz w:val="16"/>
      <w:szCs w:val="16"/>
    </w:rPr>
  </w:style>
  <w:style w:type="character" w:customStyle="1" w:styleId="BalloonTextChar">
    <w:name w:val="Balloon Text Char"/>
    <w:basedOn w:val="DefaultParagraphFont"/>
    <w:link w:val="BalloonText"/>
    <w:uiPriority w:val="99"/>
    <w:semiHidden/>
    <w:rsid w:val="0003592B"/>
    <w:rPr>
      <w:rFonts w:ascii="Tahoma" w:eastAsia="Times New Roman" w:hAnsi="Tahoma" w:cs="Tahoma"/>
      <w:sz w:val="16"/>
      <w:szCs w:val="16"/>
    </w:rPr>
  </w:style>
  <w:style w:type="character" w:styleId="Hyperlink">
    <w:name w:val="Hyperlink"/>
    <w:basedOn w:val="DefaultParagraphFont"/>
    <w:uiPriority w:val="99"/>
    <w:unhideWhenUsed/>
    <w:rsid w:val="00C01DB7"/>
    <w:rPr>
      <w:color w:val="0000FF" w:themeColor="hyperlink"/>
      <w:u w:val="single"/>
    </w:rPr>
  </w:style>
  <w:style w:type="paragraph" w:styleId="Header">
    <w:name w:val="header"/>
    <w:basedOn w:val="Normal"/>
    <w:link w:val="HeaderChar"/>
    <w:uiPriority w:val="99"/>
    <w:unhideWhenUsed/>
    <w:rsid w:val="00C01DB7"/>
    <w:pPr>
      <w:tabs>
        <w:tab w:val="center" w:pos="4680"/>
        <w:tab w:val="right" w:pos="9360"/>
      </w:tabs>
    </w:pPr>
  </w:style>
  <w:style w:type="character" w:customStyle="1" w:styleId="HeaderChar">
    <w:name w:val="Header Char"/>
    <w:basedOn w:val="DefaultParagraphFont"/>
    <w:link w:val="Header"/>
    <w:uiPriority w:val="99"/>
    <w:rsid w:val="00C01D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DB7"/>
    <w:pPr>
      <w:tabs>
        <w:tab w:val="center" w:pos="4680"/>
        <w:tab w:val="right" w:pos="9360"/>
      </w:tabs>
    </w:pPr>
  </w:style>
  <w:style w:type="character" w:customStyle="1" w:styleId="FooterChar">
    <w:name w:val="Footer Char"/>
    <w:basedOn w:val="DefaultParagraphFont"/>
    <w:link w:val="Footer"/>
    <w:uiPriority w:val="99"/>
    <w:rsid w:val="00C01DB7"/>
    <w:rPr>
      <w:rFonts w:ascii="Times New Roman" w:eastAsia="Times New Roman" w:hAnsi="Times New Roman" w:cs="Times New Roman"/>
      <w:sz w:val="24"/>
      <w:szCs w:val="24"/>
    </w:rPr>
  </w:style>
  <w:style w:type="paragraph" w:styleId="ListParagraph">
    <w:name w:val="List Paragraph"/>
    <w:basedOn w:val="Normal"/>
    <w:uiPriority w:val="34"/>
    <w:qFormat/>
    <w:rsid w:val="00F729CD"/>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153"/>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03592B"/>
    <w:rPr>
      <w:rFonts w:ascii="Tahoma" w:hAnsi="Tahoma" w:cs="Tahoma"/>
      <w:sz w:val="16"/>
      <w:szCs w:val="16"/>
    </w:rPr>
  </w:style>
  <w:style w:type="character" w:customStyle="1" w:styleId="BalloonTextChar">
    <w:name w:val="Balloon Text Char"/>
    <w:basedOn w:val="DefaultParagraphFont"/>
    <w:link w:val="BalloonText"/>
    <w:uiPriority w:val="99"/>
    <w:semiHidden/>
    <w:rsid w:val="0003592B"/>
    <w:rPr>
      <w:rFonts w:ascii="Tahoma" w:eastAsia="Times New Roman" w:hAnsi="Tahoma" w:cs="Tahoma"/>
      <w:sz w:val="16"/>
      <w:szCs w:val="16"/>
    </w:rPr>
  </w:style>
  <w:style w:type="character" w:styleId="Hyperlink">
    <w:name w:val="Hyperlink"/>
    <w:basedOn w:val="DefaultParagraphFont"/>
    <w:uiPriority w:val="99"/>
    <w:unhideWhenUsed/>
    <w:rsid w:val="00C01DB7"/>
    <w:rPr>
      <w:color w:val="0000FF" w:themeColor="hyperlink"/>
      <w:u w:val="single"/>
    </w:rPr>
  </w:style>
  <w:style w:type="paragraph" w:styleId="Header">
    <w:name w:val="header"/>
    <w:basedOn w:val="Normal"/>
    <w:link w:val="HeaderChar"/>
    <w:uiPriority w:val="99"/>
    <w:unhideWhenUsed/>
    <w:rsid w:val="00C01DB7"/>
    <w:pPr>
      <w:tabs>
        <w:tab w:val="center" w:pos="4680"/>
        <w:tab w:val="right" w:pos="9360"/>
      </w:tabs>
    </w:pPr>
  </w:style>
  <w:style w:type="character" w:customStyle="1" w:styleId="HeaderChar">
    <w:name w:val="Header Char"/>
    <w:basedOn w:val="DefaultParagraphFont"/>
    <w:link w:val="Header"/>
    <w:uiPriority w:val="99"/>
    <w:rsid w:val="00C01D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DB7"/>
    <w:pPr>
      <w:tabs>
        <w:tab w:val="center" w:pos="4680"/>
        <w:tab w:val="right" w:pos="9360"/>
      </w:tabs>
    </w:pPr>
  </w:style>
  <w:style w:type="character" w:customStyle="1" w:styleId="FooterChar">
    <w:name w:val="Footer Char"/>
    <w:basedOn w:val="DefaultParagraphFont"/>
    <w:link w:val="Footer"/>
    <w:uiPriority w:val="99"/>
    <w:rsid w:val="00C01DB7"/>
    <w:rPr>
      <w:rFonts w:ascii="Times New Roman" w:eastAsia="Times New Roman" w:hAnsi="Times New Roman" w:cs="Times New Roman"/>
      <w:sz w:val="24"/>
      <w:szCs w:val="24"/>
    </w:rPr>
  </w:style>
  <w:style w:type="paragraph" w:styleId="ListParagraph">
    <w:name w:val="List Paragraph"/>
    <w:basedOn w:val="Normal"/>
    <w:uiPriority w:val="34"/>
    <w:qFormat/>
    <w:rsid w:val="00F729CD"/>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p.iccsafe.org/icc-400-2012-standard-on-the-design-and-construction-of-log-structures-2.html" TargetMode="External"/><Relationship Id="rId5" Type="http://schemas.openxmlformats.org/officeDocument/2006/relationships/webSettings" Target="webSettings.xml"/><Relationship Id="rId10" Type="http://schemas.openxmlformats.org/officeDocument/2006/relationships/hyperlink" Target="https://www.iccsafe.org/codes-tech-support/codes/code-development-process/standards-development/is-log/" TargetMode="External"/><Relationship Id="rId4" Type="http://schemas.openxmlformats.org/officeDocument/2006/relationships/settings" Target="settings.xml"/><Relationship Id="rId9" Type="http://schemas.openxmlformats.org/officeDocument/2006/relationships/image" Target="http://iccstaff.iccsafe.org/images/logos/logo-vert.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3</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Wirtschoreck</dc:creator>
  <cp:lastModifiedBy>Ed Wirtschoreck</cp:lastModifiedBy>
  <cp:revision>19</cp:revision>
  <cp:lastPrinted>2017-03-30T14:45:00Z</cp:lastPrinted>
  <dcterms:created xsi:type="dcterms:W3CDTF">2017-03-27T19:45:00Z</dcterms:created>
  <dcterms:modified xsi:type="dcterms:W3CDTF">2017-08-09T19:32:00Z</dcterms:modified>
</cp:coreProperties>
</file>