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E47" w:rsidRDefault="00EA6E47" w:rsidP="00EA6E47">
      <w:pPr>
        <w:jc w:val="center"/>
        <w:rPr>
          <w:rFonts w:ascii="Arial" w:hAnsi="Arial" w:cs="Arial"/>
          <w:b/>
          <w:bCs/>
          <w:sz w:val="36"/>
          <w:szCs w:val="36"/>
        </w:rPr>
      </w:pPr>
    </w:p>
    <w:p w:rsidR="006B75B0" w:rsidRPr="00B476AA" w:rsidRDefault="006B75B0" w:rsidP="006B75B0">
      <w:pPr>
        <w:jc w:val="center"/>
        <w:rPr>
          <w:rFonts w:ascii="Arial" w:hAnsi="Arial" w:cs="Arial"/>
          <w:b/>
          <w:bCs/>
          <w:sz w:val="36"/>
          <w:szCs w:val="36"/>
        </w:rPr>
      </w:pPr>
      <w:r w:rsidRPr="00B476AA">
        <w:rPr>
          <w:rFonts w:ascii="Arial" w:hAnsi="Arial" w:cs="Arial"/>
          <w:b/>
          <w:bCs/>
          <w:sz w:val="36"/>
          <w:szCs w:val="36"/>
        </w:rPr>
        <w:t>Chapter 3. Building Blocks</w:t>
      </w:r>
    </w:p>
    <w:p w:rsidR="006B75B0" w:rsidRDefault="006B75B0" w:rsidP="006B75B0">
      <w:pPr>
        <w:rPr>
          <w:rFonts w:ascii="Arial" w:hAnsi="Arial" w:cs="Arial"/>
          <w:b/>
          <w:bCs/>
          <w:sz w:val="20"/>
          <w:szCs w:val="20"/>
        </w:rPr>
      </w:pPr>
    </w:p>
    <w:p w:rsidR="006B75B0" w:rsidRPr="00B476AA" w:rsidRDefault="006B75B0" w:rsidP="006B75B0">
      <w:pPr>
        <w:rPr>
          <w:rFonts w:ascii="Arial" w:hAnsi="Arial" w:cs="Arial"/>
          <w:b/>
          <w:bCs/>
          <w:sz w:val="20"/>
          <w:szCs w:val="20"/>
        </w:rPr>
      </w:pPr>
      <w:r w:rsidRPr="00B476AA">
        <w:rPr>
          <w:rFonts w:ascii="Arial" w:hAnsi="Arial" w:cs="Arial"/>
          <w:b/>
          <w:bCs/>
          <w:sz w:val="20"/>
          <w:szCs w:val="20"/>
        </w:rPr>
        <w:t>301 General</w:t>
      </w:r>
    </w:p>
    <w:p w:rsidR="006B75B0" w:rsidRDefault="006B75B0" w:rsidP="006B75B0">
      <w:pPr>
        <w:jc w:val="both"/>
        <w:rPr>
          <w:rFonts w:ascii="Arial" w:hAnsi="Arial" w:cs="Arial"/>
          <w:b/>
          <w:bCs/>
          <w:sz w:val="20"/>
          <w:szCs w:val="20"/>
        </w:rPr>
      </w:pPr>
    </w:p>
    <w:p w:rsidR="006B75B0" w:rsidRPr="00B476AA" w:rsidRDefault="006B75B0" w:rsidP="006B75B0">
      <w:pPr>
        <w:rPr>
          <w:rFonts w:ascii="Arial" w:hAnsi="Arial" w:cs="Arial"/>
          <w:sz w:val="20"/>
          <w:szCs w:val="20"/>
        </w:rPr>
      </w:pPr>
      <w:r w:rsidRPr="00B476AA">
        <w:rPr>
          <w:rFonts w:ascii="Arial" w:hAnsi="Arial" w:cs="Arial"/>
          <w:b/>
          <w:bCs/>
          <w:sz w:val="20"/>
          <w:szCs w:val="20"/>
        </w:rPr>
        <w:t xml:space="preserve">301.1 Scope. </w:t>
      </w:r>
      <w:r w:rsidRPr="00B476AA">
        <w:rPr>
          <w:rFonts w:ascii="Arial" w:hAnsi="Arial" w:cs="Arial"/>
          <w:sz w:val="20"/>
          <w:szCs w:val="20"/>
        </w:rPr>
        <w:t xml:space="preserve">The provisions of Chapter 3 shall apply where required by the scoping provisions adopted by the administrative </w:t>
      </w:r>
      <w:r>
        <w:rPr>
          <w:rFonts w:ascii="Arial" w:hAnsi="Arial" w:cs="Arial"/>
          <w:sz w:val="20"/>
          <w:szCs w:val="20"/>
        </w:rPr>
        <w:t>authority or by Chap</w:t>
      </w:r>
      <w:r w:rsidRPr="00B476AA">
        <w:rPr>
          <w:rFonts w:ascii="Arial" w:hAnsi="Arial" w:cs="Arial"/>
          <w:sz w:val="20"/>
          <w:szCs w:val="20"/>
        </w:rPr>
        <w:t xml:space="preserve">ters 4 through </w:t>
      </w:r>
      <w:r w:rsidRPr="00CF4AB0">
        <w:rPr>
          <w:rFonts w:ascii="Arial" w:hAnsi="Arial" w:cs="Arial"/>
          <w:sz w:val="20"/>
          <w:szCs w:val="20"/>
        </w:rPr>
        <w:t>11</w:t>
      </w:r>
      <w:r w:rsidRPr="00B476AA">
        <w:rPr>
          <w:rFonts w:ascii="Arial" w:hAnsi="Arial" w:cs="Arial"/>
          <w:sz w:val="20"/>
          <w:szCs w:val="20"/>
        </w:rPr>
        <w:t>.</w:t>
      </w:r>
    </w:p>
    <w:p w:rsidR="006B75B0" w:rsidRDefault="006B75B0" w:rsidP="006B75B0">
      <w:pPr>
        <w:tabs>
          <w:tab w:val="left" w:pos="359"/>
          <w:tab w:val="left" w:pos="837"/>
          <w:tab w:val="left" w:pos="3239"/>
          <w:tab w:val="left" w:pos="4679"/>
        </w:tabs>
        <w:autoSpaceDE w:val="0"/>
        <w:autoSpaceDN w:val="0"/>
        <w:adjustRightInd w:val="0"/>
        <w:rPr>
          <w:rFonts w:ascii="Arial" w:hAnsi="Arial" w:cs="Helvetica"/>
          <w:b/>
          <w:bCs/>
          <w:sz w:val="20"/>
          <w:szCs w:val="20"/>
        </w:rPr>
      </w:pPr>
    </w:p>
    <w:p w:rsidR="006B75B0" w:rsidRPr="00B476AA" w:rsidRDefault="006B75B0" w:rsidP="006B75B0">
      <w:pPr>
        <w:tabs>
          <w:tab w:val="left" w:pos="359"/>
          <w:tab w:val="left" w:pos="837"/>
          <w:tab w:val="left" w:pos="3239"/>
          <w:tab w:val="left" w:pos="4679"/>
        </w:tabs>
        <w:autoSpaceDE w:val="0"/>
        <w:autoSpaceDN w:val="0"/>
        <w:adjustRightInd w:val="0"/>
        <w:rPr>
          <w:rFonts w:ascii="Arial" w:hAnsi="Arial" w:cs="Helvetica"/>
          <w:sz w:val="20"/>
          <w:szCs w:val="20"/>
        </w:rPr>
      </w:pPr>
      <w:r w:rsidRPr="00B476AA">
        <w:rPr>
          <w:rFonts w:ascii="Arial" w:hAnsi="Arial" w:cs="Helvetica"/>
          <w:b/>
          <w:bCs/>
          <w:sz w:val="20"/>
          <w:szCs w:val="20"/>
        </w:rPr>
        <w:t>301.2 Overlap</w:t>
      </w:r>
      <w:r w:rsidRPr="00B476AA">
        <w:rPr>
          <w:rFonts w:ascii="Arial" w:hAnsi="Arial" w:cs="Helvetica"/>
          <w:bCs/>
          <w:sz w:val="20"/>
          <w:szCs w:val="20"/>
        </w:rPr>
        <w:t>.</w:t>
      </w:r>
      <w:r w:rsidRPr="00B476AA">
        <w:rPr>
          <w:rFonts w:ascii="Arial" w:hAnsi="Arial" w:cs="Helvetica"/>
          <w:sz w:val="20"/>
          <w:szCs w:val="20"/>
        </w:rPr>
        <w:t xml:space="preserve"> Unless otherwise specified, clear floor spaces, clearances at fixtures, maneuvering clearances at doors, and turning spaces shall be permitted to overlap.</w:t>
      </w:r>
    </w:p>
    <w:p w:rsidR="006B75B0" w:rsidRDefault="006B75B0" w:rsidP="006B75B0">
      <w:pPr>
        <w:rPr>
          <w:rFonts w:ascii="Arial" w:hAnsi="Arial" w:cs="Arial"/>
          <w:b/>
          <w:bCs/>
          <w:sz w:val="20"/>
          <w:szCs w:val="20"/>
        </w:rPr>
      </w:pPr>
    </w:p>
    <w:p w:rsidR="006B75B0" w:rsidRPr="00B476AA" w:rsidRDefault="006B75B0" w:rsidP="006B75B0">
      <w:pPr>
        <w:rPr>
          <w:rFonts w:ascii="Arial" w:hAnsi="Arial" w:cs="Arial"/>
          <w:b/>
          <w:bCs/>
          <w:sz w:val="20"/>
          <w:szCs w:val="20"/>
        </w:rPr>
      </w:pPr>
      <w:r w:rsidRPr="00B476AA">
        <w:rPr>
          <w:rFonts w:ascii="Arial" w:hAnsi="Arial" w:cs="Arial"/>
          <w:b/>
          <w:bCs/>
          <w:sz w:val="20"/>
          <w:szCs w:val="20"/>
        </w:rPr>
        <w:t>302 Floor Surfaces</w:t>
      </w:r>
    </w:p>
    <w:p w:rsidR="006B75B0" w:rsidRPr="00B476AA" w:rsidRDefault="006B75B0" w:rsidP="006B75B0">
      <w:pPr>
        <w:rPr>
          <w:rFonts w:ascii="Arial" w:hAnsi="Arial" w:cs="Arial"/>
          <w:b/>
          <w:bCs/>
          <w:sz w:val="20"/>
          <w:szCs w:val="20"/>
        </w:rPr>
      </w:pPr>
    </w:p>
    <w:p w:rsidR="006B75B0" w:rsidRPr="00B476AA" w:rsidRDefault="006B75B0" w:rsidP="006B75B0">
      <w:pPr>
        <w:rPr>
          <w:rFonts w:ascii="Arial" w:hAnsi="Arial" w:cs="Arial"/>
          <w:sz w:val="20"/>
          <w:szCs w:val="20"/>
        </w:rPr>
      </w:pPr>
      <w:r w:rsidRPr="00B476AA">
        <w:rPr>
          <w:rFonts w:ascii="Arial" w:hAnsi="Arial" w:cs="Arial"/>
          <w:b/>
          <w:bCs/>
          <w:sz w:val="20"/>
          <w:szCs w:val="20"/>
        </w:rPr>
        <w:t xml:space="preserve">302.1 General. </w:t>
      </w:r>
      <w:r w:rsidRPr="00B476AA">
        <w:rPr>
          <w:rFonts w:ascii="Arial" w:hAnsi="Arial" w:cs="Arial"/>
          <w:sz w:val="20"/>
          <w:szCs w:val="20"/>
        </w:rPr>
        <w:t>Floor surfaces shall be stable, firm, and slip resistant, and shall comply with Section 302. Changes in level in floor surfaces shall comply with Section 303.</w:t>
      </w:r>
    </w:p>
    <w:p w:rsidR="006B75B0" w:rsidRPr="00B476AA" w:rsidRDefault="006B75B0" w:rsidP="006B75B0">
      <w:pPr>
        <w:jc w:val="both"/>
        <w:rPr>
          <w:rFonts w:ascii="Arial" w:hAnsi="Arial" w:cs="Arial"/>
          <w:b/>
          <w:bCs/>
          <w:sz w:val="20"/>
          <w:szCs w:val="20"/>
        </w:rPr>
      </w:pPr>
    </w:p>
    <w:p w:rsidR="006B75B0" w:rsidRDefault="006B75B0" w:rsidP="006B75B0">
      <w:pPr>
        <w:rPr>
          <w:rFonts w:ascii="Arial" w:hAnsi="Arial" w:cs="Arial"/>
          <w:sz w:val="20"/>
          <w:szCs w:val="20"/>
        </w:rPr>
      </w:pPr>
      <w:r w:rsidRPr="00B476AA">
        <w:rPr>
          <w:rFonts w:ascii="Arial" w:hAnsi="Arial" w:cs="Arial"/>
          <w:b/>
          <w:bCs/>
          <w:sz w:val="20"/>
          <w:szCs w:val="20"/>
        </w:rPr>
        <w:t xml:space="preserve">302.2 Carpet. </w:t>
      </w:r>
      <w:r w:rsidRPr="00B476AA">
        <w:rPr>
          <w:rFonts w:ascii="Arial" w:hAnsi="Arial" w:cs="Arial"/>
          <w:sz w:val="20"/>
          <w:szCs w:val="20"/>
        </w:rPr>
        <w:t xml:space="preserve">Carpet or carpet tile shall be securely attached and shall have a firm cushion, pad, or backing or no cushion or pad. Carpet or carpet tile shall have a level loop, textured loop, level cut pile, or level cut/uncut pile texture. The pile shall be </w:t>
      </w:r>
      <w:r w:rsidRPr="00B476AA">
        <w:rPr>
          <w:rFonts w:ascii="Arial" w:hAnsi="Arial" w:cs="Arial"/>
          <w:sz w:val="20"/>
          <w:szCs w:val="20"/>
          <w:vertAlign w:val="superscript"/>
        </w:rPr>
        <w:t>1</w:t>
      </w:r>
      <w:r w:rsidRPr="00B476AA">
        <w:rPr>
          <w:rFonts w:ascii="Arial" w:hAnsi="Arial" w:cs="Arial"/>
          <w:sz w:val="20"/>
          <w:szCs w:val="20"/>
        </w:rPr>
        <w:t>/</w:t>
      </w:r>
      <w:r w:rsidRPr="00B476AA">
        <w:rPr>
          <w:rFonts w:ascii="Arial" w:hAnsi="Arial" w:cs="Arial"/>
          <w:sz w:val="11"/>
          <w:szCs w:val="11"/>
        </w:rPr>
        <w:t xml:space="preserve">2 </w:t>
      </w:r>
      <w:r w:rsidRPr="00B476AA">
        <w:rPr>
          <w:rFonts w:ascii="Arial" w:hAnsi="Arial" w:cs="Arial"/>
          <w:sz w:val="20"/>
          <w:szCs w:val="20"/>
        </w:rPr>
        <w:t>inch (13 mm) maximum in height. Exposed edges of carpet shall be fastened to the floor and shall have trim along the entire length of the exposed edge. Carpet edge trim shall comply with Section 303.</w:t>
      </w:r>
    </w:p>
    <w:p w:rsidR="006B75B0" w:rsidRPr="002B7EB8" w:rsidRDefault="006B75B0" w:rsidP="006B75B0">
      <w:pPr>
        <w:rPr>
          <w:rFonts w:ascii="Arial" w:hAnsi="Arial" w:cs="Arial"/>
          <w:color w:val="FF0000"/>
          <w:sz w:val="20"/>
          <w:szCs w:val="20"/>
        </w:rPr>
      </w:pPr>
    </w:p>
    <w:p w:rsidR="006B75B0" w:rsidRDefault="006B75B0" w:rsidP="006B75B0">
      <w:pPr>
        <w:rPr>
          <w:rFonts w:ascii="Arial" w:hAnsi="Arial" w:cs="Arial"/>
          <w:i/>
          <w:color w:val="FF0000"/>
          <w:sz w:val="20"/>
          <w:szCs w:val="20"/>
        </w:rPr>
      </w:pPr>
      <w:r>
        <w:rPr>
          <w:rFonts w:ascii="Arial" w:hAnsi="Arial" w:cs="Arial"/>
          <w:i/>
          <w:noProof/>
          <w:color w:val="FF0000"/>
          <w:sz w:val="20"/>
          <w:szCs w:val="20"/>
        </w:rPr>
        <w:drawing>
          <wp:inline distT="0" distB="0" distL="0" distR="0">
            <wp:extent cx="2800350" cy="800100"/>
            <wp:effectExtent l="0" t="0" r="0" b="0"/>
            <wp:docPr id="64" name="Picture 64" descr="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800100"/>
                    </a:xfrm>
                    <a:prstGeom prst="rect">
                      <a:avLst/>
                    </a:prstGeom>
                    <a:noFill/>
                    <a:ln>
                      <a:noFill/>
                    </a:ln>
                  </pic:spPr>
                </pic:pic>
              </a:graphicData>
            </a:graphic>
          </wp:inline>
        </w:drawing>
      </w:r>
    </w:p>
    <w:p w:rsidR="006B75B0" w:rsidRPr="00D934AE" w:rsidRDefault="006B75B0" w:rsidP="006B75B0">
      <w:pPr>
        <w:rPr>
          <w:rFonts w:ascii="Arial" w:hAnsi="Arial" w:cs="Arial"/>
          <w:i/>
          <w:color w:val="FF0000"/>
          <w:sz w:val="20"/>
          <w:szCs w:val="20"/>
        </w:rPr>
      </w:pPr>
      <w:r w:rsidRPr="00D934AE">
        <w:rPr>
          <w:rFonts w:ascii="Arial" w:hAnsi="Arial" w:cs="Arial"/>
          <w:i/>
          <w:color w:val="FF0000"/>
          <w:sz w:val="20"/>
          <w:szCs w:val="20"/>
        </w:rPr>
        <w:t>Figure 302.2 Carpet on floor surface</w:t>
      </w:r>
    </w:p>
    <w:p w:rsidR="006B75B0" w:rsidRDefault="006B75B0" w:rsidP="006B75B0">
      <w:pPr>
        <w:rPr>
          <w:rFonts w:ascii="Arial" w:hAnsi="Arial" w:cs="Arial"/>
          <w:b/>
          <w:bCs/>
          <w:sz w:val="20"/>
          <w:szCs w:val="20"/>
        </w:rPr>
      </w:pPr>
    </w:p>
    <w:p w:rsidR="006B75B0" w:rsidRDefault="006B75B0" w:rsidP="006B75B0">
      <w:pPr>
        <w:rPr>
          <w:rFonts w:ascii="Arial" w:hAnsi="Arial" w:cs="Arial"/>
          <w:sz w:val="20"/>
          <w:szCs w:val="20"/>
        </w:rPr>
      </w:pPr>
      <w:r w:rsidRPr="00B476AA">
        <w:rPr>
          <w:rFonts w:ascii="Arial" w:hAnsi="Arial" w:cs="Arial"/>
          <w:b/>
          <w:bCs/>
          <w:sz w:val="20"/>
          <w:szCs w:val="20"/>
        </w:rPr>
        <w:t xml:space="preserve">302.3 Openings. </w:t>
      </w:r>
      <w:r w:rsidRPr="00B476AA">
        <w:rPr>
          <w:rFonts w:ascii="Arial" w:hAnsi="Arial" w:cs="Arial"/>
          <w:sz w:val="20"/>
          <w:szCs w:val="20"/>
        </w:rPr>
        <w:t xml:space="preserve">Openings in floor surfaces shall be of a size that does not permit the passage of a </w:t>
      </w:r>
      <w:r w:rsidRPr="00B476AA">
        <w:rPr>
          <w:rFonts w:ascii="Arial" w:hAnsi="Arial" w:cs="Arial"/>
          <w:sz w:val="20"/>
          <w:szCs w:val="20"/>
          <w:vertAlign w:val="superscript"/>
        </w:rPr>
        <w:t>1</w:t>
      </w:r>
      <w:r w:rsidRPr="00B476AA">
        <w:rPr>
          <w:rFonts w:ascii="Arial" w:hAnsi="Arial" w:cs="Arial"/>
          <w:sz w:val="20"/>
          <w:szCs w:val="20"/>
        </w:rPr>
        <w:t>/</w:t>
      </w:r>
      <w:r w:rsidRPr="00B476AA">
        <w:rPr>
          <w:rFonts w:ascii="Arial" w:hAnsi="Arial" w:cs="Arial"/>
          <w:sz w:val="11"/>
          <w:szCs w:val="11"/>
        </w:rPr>
        <w:t xml:space="preserve">2 </w:t>
      </w:r>
      <w:r w:rsidRPr="00B476AA">
        <w:rPr>
          <w:rFonts w:ascii="Arial" w:hAnsi="Arial" w:cs="Arial"/>
          <w:sz w:val="20"/>
          <w:szCs w:val="20"/>
        </w:rPr>
        <w:t xml:space="preserve">inch (13 mm) diameter sphere, except as allowed in Sections </w:t>
      </w:r>
      <w:r w:rsidRPr="000B0A71">
        <w:rPr>
          <w:rFonts w:ascii="Arial" w:hAnsi="Arial" w:cs="Arial"/>
          <w:sz w:val="20"/>
          <w:szCs w:val="20"/>
        </w:rPr>
        <w:t>407.4.3, 408.4.3, 409.4.3, 410.4, and 805.10.</w:t>
      </w:r>
      <w:r w:rsidRPr="00B476AA">
        <w:rPr>
          <w:rFonts w:ascii="Arial" w:hAnsi="Arial" w:cs="Arial"/>
          <w:sz w:val="20"/>
          <w:szCs w:val="20"/>
        </w:rPr>
        <w:t xml:space="preserve"> Elongated openings shall be placed so that the long dimension is perpendicular to the </w:t>
      </w:r>
      <w:r w:rsidRPr="00CF4AB0">
        <w:rPr>
          <w:rFonts w:ascii="Arial" w:hAnsi="Arial" w:cs="Arial"/>
          <w:sz w:val="20"/>
          <w:szCs w:val="20"/>
        </w:rPr>
        <w:t>pre</w:t>
      </w:r>
      <w:r w:rsidRPr="00B476AA">
        <w:rPr>
          <w:rFonts w:ascii="Arial" w:hAnsi="Arial" w:cs="Arial"/>
          <w:sz w:val="20"/>
          <w:szCs w:val="20"/>
        </w:rPr>
        <w:t>dominant direction of travel.</w:t>
      </w:r>
    </w:p>
    <w:p w:rsidR="006B75B0" w:rsidRDefault="006B75B0" w:rsidP="006B75B0">
      <w:pPr>
        <w:rPr>
          <w:rFonts w:ascii="Arial" w:hAnsi="Arial" w:cs="Arial"/>
          <w:sz w:val="20"/>
          <w:szCs w:val="20"/>
        </w:rPr>
      </w:pPr>
    </w:p>
    <w:p w:rsidR="006B75B0" w:rsidRDefault="006B75B0" w:rsidP="006B75B0">
      <w:pPr>
        <w:rPr>
          <w:rFonts w:ascii="Arial" w:hAnsi="Arial" w:cs="Arial"/>
          <w:i/>
          <w:color w:val="FF0000"/>
          <w:sz w:val="20"/>
          <w:szCs w:val="20"/>
        </w:rPr>
      </w:pPr>
      <w:r>
        <w:rPr>
          <w:rFonts w:ascii="Arial" w:hAnsi="Arial" w:cs="Arial"/>
          <w:i/>
          <w:noProof/>
          <w:color w:val="FF0000"/>
          <w:sz w:val="20"/>
          <w:szCs w:val="20"/>
        </w:rPr>
        <w:drawing>
          <wp:inline distT="0" distB="0" distL="0" distR="0">
            <wp:extent cx="2720340" cy="2011680"/>
            <wp:effectExtent l="0" t="0" r="3810" b="7620"/>
            <wp:docPr id="63" name="Picture 63" descr="30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2_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0340" cy="2011680"/>
                    </a:xfrm>
                    <a:prstGeom prst="rect">
                      <a:avLst/>
                    </a:prstGeom>
                    <a:noFill/>
                    <a:ln>
                      <a:noFill/>
                    </a:ln>
                  </pic:spPr>
                </pic:pic>
              </a:graphicData>
            </a:graphic>
          </wp:inline>
        </w:drawing>
      </w:r>
    </w:p>
    <w:p w:rsidR="006B75B0" w:rsidRPr="00D934AE" w:rsidRDefault="006B75B0" w:rsidP="006B75B0">
      <w:pPr>
        <w:rPr>
          <w:rFonts w:ascii="Arial" w:hAnsi="Arial" w:cs="Arial"/>
          <w:i/>
          <w:color w:val="FF0000"/>
          <w:sz w:val="20"/>
          <w:szCs w:val="20"/>
        </w:rPr>
      </w:pPr>
      <w:r w:rsidRPr="00D934AE">
        <w:rPr>
          <w:rFonts w:ascii="Arial" w:hAnsi="Arial" w:cs="Arial"/>
          <w:i/>
          <w:color w:val="FF0000"/>
          <w:sz w:val="20"/>
          <w:szCs w:val="20"/>
        </w:rPr>
        <w:t>Figure 302.3 Openings in floor surface</w:t>
      </w:r>
    </w:p>
    <w:p w:rsidR="006B75B0" w:rsidRPr="00B476AA" w:rsidRDefault="006B75B0" w:rsidP="006B75B0">
      <w:pPr>
        <w:jc w:val="center"/>
        <w:rPr>
          <w:rFonts w:ascii="Arial" w:hAnsi="Arial" w:cs="Arial"/>
          <w:b/>
          <w:bCs/>
          <w:sz w:val="18"/>
          <w:szCs w:val="18"/>
        </w:rPr>
      </w:pPr>
    </w:p>
    <w:p w:rsidR="006B75B0" w:rsidRPr="00B476AA" w:rsidRDefault="006B75B0" w:rsidP="006B75B0">
      <w:pPr>
        <w:rPr>
          <w:rFonts w:ascii="Arial" w:hAnsi="Arial" w:cs="Arial"/>
          <w:b/>
          <w:bCs/>
          <w:sz w:val="20"/>
          <w:szCs w:val="20"/>
        </w:rPr>
      </w:pPr>
      <w:r w:rsidRPr="00B476AA">
        <w:rPr>
          <w:rFonts w:ascii="Arial" w:hAnsi="Arial" w:cs="Arial"/>
          <w:b/>
          <w:bCs/>
          <w:sz w:val="20"/>
          <w:szCs w:val="20"/>
        </w:rPr>
        <w:t>303 Changes in Level</w:t>
      </w:r>
    </w:p>
    <w:p w:rsidR="006B75B0" w:rsidRDefault="006B75B0" w:rsidP="006B75B0">
      <w:pPr>
        <w:rPr>
          <w:rFonts w:ascii="Arial" w:hAnsi="Arial" w:cs="Arial"/>
          <w:b/>
          <w:bCs/>
          <w:sz w:val="20"/>
          <w:szCs w:val="20"/>
        </w:rPr>
      </w:pPr>
    </w:p>
    <w:p w:rsidR="006B75B0" w:rsidRPr="00B476AA" w:rsidRDefault="006B75B0" w:rsidP="006B75B0">
      <w:pPr>
        <w:rPr>
          <w:rFonts w:ascii="Arial" w:hAnsi="Arial" w:cs="Arial"/>
          <w:sz w:val="20"/>
          <w:szCs w:val="20"/>
        </w:rPr>
      </w:pPr>
      <w:r w:rsidRPr="00B476AA">
        <w:rPr>
          <w:rFonts w:ascii="Arial" w:hAnsi="Arial" w:cs="Arial"/>
          <w:b/>
          <w:bCs/>
          <w:sz w:val="20"/>
          <w:szCs w:val="20"/>
        </w:rPr>
        <w:t xml:space="preserve">303.1 General. </w:t>
      </w:r>
      <w:r w:rsidRPr="00B476AA">
        <w:rPr>
          <w:rFonts w:ascii="Arial" w:hAnsi="Arial" w:cs="Arial"/>
          <w:sz w:val="20"/>
          <w:szCs w:val="20"/>
        </w:rPr>
        <w:t>Changes in level in floor surfaces shall comply with Section 303.</w:t>
      </w:r>
    </w:p>
    <w:p w:rsidR="006B75B0" w:rsidRDefault="006B75B0" w:rsidP="006B75B0">
      <w:pPr>
        <w:ind w:left="720"/>
        <w:rPr>
          <w:rFonts w:ascii="Arial" w:hAnsi="Arial" w:cs="Arial"/>
          <w:b/>
          <w:sz w:val="20"/>
          <w:szCs w:val="20"/>
          <w:u w:val="single"/>
        </w:rPr>
      </w:pPr>
    </w:p>
    <w:p w:rsidR="006B75B0" w:rsidRDefault="006B75B0" w:rsidP="006B75B0">
      <w:pPr>
        <w:contextualSpacing/>
        <w:rPr>
          <w:rFonts w:ascii="Arial" w:hAnsi="Arial" w:cs="Arial"/>
          <w:sz w:val="20"/>
          <w:szCs w:val="20"/>
        </w:rPr>
      </w:pPr>
      <w:r w:rsidRPr="00B476AA">
        <w:rPr>
          <w:rFonts w:ascii="Arial" w:hAnsi="Arial" w:cs="Arial"/>
          <w:b/>
          <w:bCs/>
          <w:sz w:val="20"/>
          <w:szCs w:val="20"/>
        </w:rPr>
        <w:lastRenderedPageBreak/>
        <w:t>303.2 Vertical.</w:t>
      </w:r>
      <w:r w:rsidRPr="00B476AA">
        <w:rPr>
          <w:rFonts w:ascii="Arial" w:hAnsi="Arial" w:cs="Arial"/>
          <w:bCs/>
          <w:sz w:val="20"/>
          <w:szCs w:val="20"/>
        </w:rPr>
        <w:t xml:space="preserve"> </w:t>
      </w:r>
      <w:r w:rsidRPr="00B476AA">
        <w:rPr>
          <w:rFonts w:ascii="Arial" w:hAnsi="Arial" w:cs="Arial"/>
          <w:sz w:val="20"/>
          <w:szCs w:val="20"/>
        </w:rPr>
        <w:t xml:space="preserve">Changes in level of </w:t>
      </w:r>
      <w:r>
        <w:rPr>
          <w:rFonts w:ascii="Arial" w:hAnsi="Arial" w:cs="Arial"/>
          <w:sz w:val="20"/>
          <w:szCs w:val="20"/>
        </w:rPr>
        <w:t>1/4</w:t>
      </w:r>
      <w:r w:rsidRPr="00B476AA">
        <w:rPr>
          <w:rFonts w:ascii="Arial" w:hAnsi="Arial" w:cs="Arial"/>
          <w:sz w:val="20"/>
          <w:szCs w:val="20"/>
        </w:rPr>
        <w:t xml:space="preserve"> inch (6.4 mm) maximum in height shall be permitted to be vertical.</w:t>
      </w:r>
    </w:p>
    <w:p w:rsidR="006B75B0" w:rsidRDefault="006B75B0" w:rsidP="006B75B0">
      <w:pPr>
        <w:contextualSpacing/>
        <w:rPr>
          <w:rFonts w:ascii="Arial" w:hAnsi="Arial" w:cs="Arial"/>
          <w:sz w:val="20"/>
          <w:szCs w:val="20"/>
        </w:rPr>
      </w:pPr>
    </w:p>
    <w:p w:rsidR="006B75B0" w:rsidRDefault="006B75B0" w:rsidP="006B75B0">
      <w:pPr>
        <w:contextualSpacing/>
        <w:rPr>
          <w:rFonts w:ascii="Arial" w:hAnsi="Arial" w:cs="Arial"/>
          <w:i/>
          <w:color w:val="FF0000"/>
          <w:sz w:val="20"/>
          <w:szCs w:val="20"/>
        </w:rPr>
      </w:pPr>
      <w:r>
        <w:rPr>
          <w:rFonts w:ascii="Arial" w:hAnsi="Arial" w:cs="Arial"/>
          <w:i/>
          <w:noProof/>
          <w:color w:val="FF0000"/>
          <w:sz w:val="20"/>
          <w:szCs w:val="20"/>
        </w:rPr>
        <w:drawing>
          <wp:inline distT="0" distB="0" distL="0" distR="0">
            <wp:extent cx="2548890" cy="628650"/>
            <wp:effectExtent l="0" t="0" r="3810" b="0"/>
            <wp:docPr id="62" name="Picture 62" descr="30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3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8890" cy="628650"/>
                    </a:xfrm>
                    <a:prstGeom prst="rect">
                      <a:avLst/>
                    </a:prstGeom>
                    <a:noFill/>
                    <a:ln>
                      <a:noFill/>
                    </a:ln>
                  </pic:spPr>
                </pic:pic>
              </a:graphicData>
            </a:graphic>
          </wp:inline>
        </w:drawing>
      </w:r>
    </w:p>
    <w:p w:rsidR="006B75B0" w:rsidRPr="00D934AE" w:rsidRDefault="006B75B0" w:rsidP="006B75B0">
      <w:pPr>
        <w:contextualSpacing/>
        <w:rPr>
          <w:rFonts w:ascii="Arial" w:hAnsi="Arial" w:cs="Arial"/>
          <w:i/>
          <w:color w:val="FF0000"/>
          <w:sz w:val="20"/>
          <w:szCs w:val="20"/>
        </w:rPr>
      </w:pPr>
      <w:r w:rsidRPr="00D934AE">
        <w:rPr>
          <w:rFonts w:ascii="Arial" w:hAnsi="Arial" w:cs="Arial"/>
          <w:i/>
          <w:color w:val="FF0000"/>
          <w:sz w:val="20"/>
          <w:szCs w:val="20"/>
        </w:rPr>
        <w:t>Figure 303.2 Vertical Change in level</w:t>
      </w:r>
    </w:p>
    <w:p w:rsidR="006B75B0" w:rsidRPr="00B476AA" w:rsidRDefault="006B75B0" w:rsidP="006B75B0">
      <w:pPr>
        <w:jc w:val="center"/>
        <w:rPr>
          <w:rFonts w:ascii="Arial" w:hAnsi="Arial" w:cs="Arial"/>
          <w:sz w:val="20"/>
          <w:szCs w:val="20"/>
        </w:rPr>
      </w:pPr>
    </w:p>
    <w:p w:rsidR="006B75B0" w:rsidRPr="00727E68" w:rsidRDefault="006B75B0" w:rsidP="006B75B0">
      <w:pPr>
        <w:rPr>
          <w:rFonts w:ascii="Arial" w:hAnsi="Arial" w:cs="Arial"/>
          <w:bCs/>
          <w:color w:val="0070C0"/>
          <w:sz w:val="20"/>
          <w:szCs w:val="20"/>
        </w:rPr>
      </w:pPr>
      <w:r w:rsidRPr="00906AA6">
        <w:rPr>
          <w:rFonts w:ascii="Arial" w:hAnsi="Arial" w:cs="Arial"/>
          <w:b/>
          <w:bCs/>
          <w:spacing w:val="-3"/>
          <w:w w:val="105"/>
          <w:sz w:val="20"/>
          <w:szCs w:val="20"/>
        </w:rPr>
        <w:t xml:space="preserve">303.3 Beveled. </w:t>
      </w:r>
      <w:r w:rsidRPr="00727E68">
        <w:rPr>
          <w:rFonts w:ascii="Arial" w:hAnsi="Arial" w:cs="Arial"/>
          <w:bCs/>
          <w:color w:val="0070C0"/>
          <w:sz w:val="20"/>
          <w:szCs w:val="20"/>
        </w:rPr>
        <w:t>Changes in level greater than 1/4 inch (6.4 mm) in height and not more than 1/2 inch (13 mm) maximum in height shall be beveled with a slope not steeper than 1:2. (3-4-12 PC4/PC5)</w:t>
      </w:r>
    </w:p>
    <w:p w:rsidR="006B75B0" w:rsidRDefault="006B75B0" w:rsidP="006B75B0">
      <w:pPr>
        <w:rPr>
          <w:rFonts w:ascii="Arial" w:hAnsi="Arial" w:cs="Arial"/>
          <w:bCs/>
          <w:color w:val="00B050"/>
          <w:sz w:val="20"/>
          <w:szCs w:val="20"/>
        </w:rPr>
      </w:pPr>
    </w:p>
    <w:p w:rsidR="006B75B0" w:rsidRDefault="006B75B0" w:rsidP="006B75B0">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2777490" cy="2274570"/>
            <wp:effectExtent l="0" t="0" r="3810" b="0"/>
            <wp:docPr id="61" name="Picture 61" descr="30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3_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7490" cy="2274570"/>
                    </a:xfrm>
                    <a:prstGeom prst="rect">
                      <a:avLst/>
                    </a:prstGeom>
                    <a:noFill/>
                    <a:ln>
                      <a:noFill/>
                    </a:ln>
                  </pic:spPr>
                </pic:pic>
              </a:graphicData>
            </a:graphic>
          </wp:inline>
        </w:drawing>
      </w:r>
    </w:p>
    <w:p w:rsidR="006B75B0" w:rsidRPr="00D934AE" w:rsidRDefault="006B75B0" w:rsidP="006B75B0">
      <w:pPr>
        <w:rPr>
          <w:rFonts w:ascii="Arial" w:hAnsi="Arial" w:cs="Arial"/>
          <w:b/>
          <w:bCs/>
          <w:i/>
          <w:color w:val="FF0000"/>
          <w:sz w:val="20"/>
          <w:szCs w:val="20"/>
        </w:rPr>
      </w:pPr>
      <w:r w:rsidRPr="00D934AE">
        <w:rPr>
          <w:rFonts w:ascii="Arial" w:hAnsi="Arial" w:cs="Arial"/>
          <w:bCs/>
          <w:i/>
          <w:color w:val="FF0000"/>
          <w:sz w:val="20"/>
          <w:szCs w:val="20"/>
        </w:rPr>
        <w:t xml:space="preserve">Figure 303.3 (a) &amp; (b) </w:t>
      </w:r>
      <w:r w:rsidRPr="00D934AE">
        <w:rPr>
          <w:rFonts w:ascii="Arial" w:hAnsi="Arial" w:cs="Arial"/>
          <w:i/>
          <w:color w:val="FF0000"/>
          <w:sz w:val="20"/>
          <w:szCs w:val="20"/>
        </w:rPr>
        <w:t>Beveled change in level</w:t>
      </w:r>
    </w:p>
    <w:p w:rsidR="006B75B0" w:rsidRDefault="006B75B0" w:rsidP="006B75B0">
      <w:pPr>
        <w:jc w:val="both"/>
        <w:rPr>
          <w:rFonts w:ascii="Arial" w:hAnsi="Arial" w:cs="Arial"/>
          <w:b/>
          <w:bCs/>
          <w:sz w:val="20"/>
          <w:szCs w:val="20"/>
        </w:rPr>
      </w:pPr>
    </w:p>
    <w:p w:rsidR="006B75B0" w:rsidRPr="00B476AA" w:rsidRDefault="006B75B0" w:rsidP="006B75B0">
      <w:pPr>
        <w:jc w:val="both"/>
        <w:rPr>
          <w:rFonts w:ascii="Arial" w:hAnsi="Arial" w:cs="Arial"/>
          <w:sz w:val="20"/>
          <w:szCs w:val="20"/>
        </w:rPr>
      </w:pPr>
      <w:r w:rsidRPr="00B476AA">
        <w:rPr>
          <w:rFonts w:ascii="Arial" w:hAnsi="Arial" w:cs="Arial"/>
          <w:b/>
          <w:bCs/>
          <w:sz w:val="20"/>
          <w:szCs w:val="20"/>
        </w:rPr>
        <w:t>303.4 Ramps.</w:t>
      </w:r>
      <w:r w:rsidRPr="00B476AA">
        <w:rPr>
          <w:rFonts w:ascii="Arial" w:hAnsi="Arial" w:cs="Arial"/>
          <w:sz w:val="20"/>
          <w:szCs w:val="20"/>
        </w:rPr>
        <w:t xml:space="preserve"> Changes in level greater than </w:t>
      </w:r>
      <w:r w:rsidRPr="00B476AA">
        <w:rPr>
          <w:rFonts w:ascii="Arial" w:hAnsi="Arial" w:cs="Arial"/>
          <w:sz w:val="20"/>
          <w:szCs w:val="20"/>
          <w:vertAlign w:val="superscript"/>
        </w:rPr>
        <w:t>1</w:t>
      </w:r>
      <w:r w:rsidRPr="00B476AA">
        <w:rPr>
          <w:rFonts w:ascii="Arial" w:hAnsi="Arial" w:cs="Arial"/>
          <w:sz w:val="20"/>
          <w:szCs w:val="20"/>
        </w:rPr>
        <w:t>/</w:t>
      </w:r>
      <w:r w:rsidRPr="00B476AA">
        <w:rPr>
          <w:rFonts w:ascii="Arial" w:hAnsi="Arial" w:cs="Arial"/>
          <w:sz w:val="11"/>
          <w:szCs w:val="11"/>
        </w:rPr>
        <w:t xml:space="preserve">2 </w:t>
      </w:r>
      <w:r w:rsidRPr="00B476AA">
        <w:rPr>
          <w:rFonts w:ascii="Arial" w:hAnsi="Arial" w:cs="Arial"/>
          <w:sz w:val="20"/>
          <w:szCs w:val="20"/>
        </w:rPr>
        <w:t xml:space="preserve">inch (13 mm) in height shall be ramped and shall comply with </w:t>
      </w:r>
      <w:r w:rsidRPr="000B0A71">
        <w:rPr>
          <w:rFonts w:ascii="Arial" w:hAnsi="Arial" w:cs="Arial"/>
          <w:sz w:val="20"/>
          <w:szCs w:val="20"/>
        </w:rPr>
        <w:t>Section 405 or 406.</w:t>
      </w:r>
    </w:p>
    <w:p w:rsidR="006B75B0" w:rsidRPr="00B476AA" w:rsidRDefault="006B75B0" w:rsidP="006B75B0">
      <w:pPr>
        <w:jc w:val="both"/>
        <w:rPr>
          <w:rFonts w:ascii="Arial" w:hAnsi="Arial" w:cs="Arial"/>
          <w:sz w:val="20"/>
          <w:szCs w:val="20"/>
        </w:rPr>
      </w:pPr>
    </w:p>
    <w:p w:rsidR="006B75B0" w:rsidRDefault="006B75B0" w:rsidP="006B75B0">
      <w:pPr>
        <w:contextualSpacing/>
        <w:rPr>
          <w:rFonts w:ascii="Arial" w:hAnsi="Arial" w:cs="Arial"/>
          <w:b/>
          <w:bCs/>
          <w:sz w:val="20"/>
          <w:szCs w:val="20"/>
        </w:rPr>
      </w:pPr>
      <w:r w:rsidRPr="00B476AA">
        <w:rPr>
          <w:rFonts w:ascii="Arial" w:hAnsi="Arial" w:cs="Arial"/>
          <w:b/>
          <w:bCs/>
          <w:sz w:val="20"/>
          <w:szCs w:val="20"/>
        </w:rPr>
        <w:t>304 Turning Space</w:t>
      </w:r>
    </w:p>
    <w:p w:rsidR="006B75B0" w:rsidRPr="00B476AA" w:rsidRDefault="006B75B0" w:rsidP="006B75B0">
      <w:pPr>
        <w:contextualSpacing/>
        <w:rPr>
          <w:rFonts w:ascii="Arial" w:hAnsi="Arial" w:cs="Arial"/>
          <w:b/>
          <w:bCs/>
          <w:sz w:val="20"/>
          <w:szCs w:val="20"/>
        </w:rPr>
      </w:pPr>
    </w:p>
    <w:p w:rsidR="006B75B0" w:rsidRDefault="006B75B0" w:rsidP="006B75B0">
      <w:pPr>
        <w:rPr>
          <w:rFonts w:ascii="Arial" w:hAnsi="Arial" w:cs="Arial"/>
          <w:sz w:val="20"/>
          <w:szCs w:val="20"/>
        </w:rPr>
      </w:pPr>
      <w:r w:rsidRPr="00B476AA">
        <w:rPr>
          <w:rFonts w:ascii="Arial" w:hAnsi="Arial" w:cs="Arial"/>
          <w:b/>
          <w:bCs/>
          <w:sz w:val="20"/>
          <w:szCs w:val="20"/>
        </w:rPr>
        <w:t xml:space="preserve">304.1 General. </w:t>
      </w:r>
      <w:r w:rsidRPr="00B476AA">
        <w:rPr>
          <w:rFonts w:ascii="Arial" w:hAnsi="Arial" w:cs="Arial"/>
          <w:sz w:val="20"/>
          <w:szCs w:val="20"/>
        </w:rPr>
        <w:t>A turning space shall comply with Section 304.</w:t>
      </w:r>
    </w:p>
    <w:p w:rsidR="006B75B0" w:rsidRPr="00B476AA" w:rsidRDefault="006B75B0" w:rsidP="006B75B0">
      <w:pPr>
        <w:rPr>
          <w:rFonts w:ascii="Arial" w:hAnsi="Arial" w:cs="Arial"/>
          <w:sz w:val="20"/>
          <w:szCs w:val="20"/>
        </w:rPr>
      </w:pPr>
    </w:p>
    <w:p w:rsidR="006B75B0" w:rsidRPr="006B1EFB" w:rsidRDefault="006B75B0" w:rsidP="006B75B0">
      <w:pPr>
        <w:pStyle w:val="Default"/>
        <w:rPr>
          <w:color w:val="0070C0"/>
          <w:sz w:val="20"/>
          <w:szCs w:val="20"/>
        </w:rPr>
      </w:pPr>
      <w:r w:rsidRPr="006B1EFB">
        <w:rPr>
          <w:b/>
          <w:bCs/>
          <w:sz w:val="20"/>
          <w:szCs w:val="20"/>
        </w:rPr>
        <w:t xml:space="preserve">304.2 Floor Surface. </w:t>
      </w:r>
      <w:r w:rsidRPr="006B1EFB">
        <w:rPr>
          <w:color w:val="0070C0"/>
          <w:sz w:val="20"/>
          <w:szCs w:val="20"/>
        </w:rPr>
        <w:t xml:space="preserve">Floor surfaces of a turning space shall comply with Section 302. Changes in level </w:t>
      </w:r>
      <w:r w:rsidRPr="006B1EFB">
        <w:rPr>
          <w:color w:val="FF0000"/>
          <w:sz w:val="20"/>
          <w:szCs w:val="20"/>
          <w:u w:val="single"/>
        </w:rPr>
        <w:t>shall</w:t>
      </w:r>
      <w:r w:rsidRPr="006B1EFB">
        <w:rPr>
          <w:color w:val="00B050"/>
          <w:sz w:val="20"/>
          <w:szCs w:val="20"/>
        </w:rPr>
        <w:t xml:space="preserve"> </w:t>
      </w:r>
      <w:r w:rsidRPr="006B1EFB">
        <w:rPr>
          <w:color w:val="4F81BD"/>
          <w:sz w:val="20"/>
          <w:szCs w:val="20"/>
        </w:rPr>
        <w:t>not</w:t>
      </w:r>
      <w:r w:rsidRPr="006B1EFB">
        <w:rPr>
          <w:color w:val="00B050"/>
          <w:sz w:val="20"/>
          <w:szCs w:val="20"/>
        </w:rPr>
        <w:t xml:space="preserve"> </w:t>
      </w:r>
      <w:r w:rsidRPr="006B1EFB">
        <w:rPr>
          <w:color w:val="FF0000"/>
          <w:sz w:val="20"/>
          <w:szCs w:val="20"/>
          <w:u w:val="single"/>
        </w:rPr>
        <w:t>be</w:t>
      </w:r>
      <w:r w:rsidRPr="006B1EFB">
        <w:rPr>
          <w:color w:val="0070C0"/>
          <w:sz w:val="20"/>
          <w:szCs w:val="20"/>
        </w:rPr>
        <w:t xml:space="preserve"> permitted within the turning space. </w:t>
      </w:r>
      <w:r w:rsidR="00D2204F">
        <w:rPr>
          <w:color w:val="FF0000"/>
          <w:sz w:val="20"/>
        </w:rPr>
        <w:t>(ed.)</w:t>
      </w:r>
    </w:p>
    <w:p w:rsidR="006B75B0" w:rsidRPr="006B1EFB" w:rsidRDefault="006B75B0" w:rsidP="006B75B0">
      <w:pPr>
        <w:pStyle w:val="Default"/>
        <w:ind w:left="720"/>
        <w:rPr>
          <w:b/>
          <w:bCs/>
          <w:strike/>
          <w:color w:val="0070C0"/>
          <w:sz w:val="20"/>
          <w:szCs w:val="20"/>
        </w:rPr>
      </w:pPr>
    </w:p>
    <w:p w:rsidR="006B75B0" w:rsidRPr="006B1EFB" w:rsidRDefault="006B75B0" w:rsidP="006B75B0">
      <w:pPr>
        <w:pStyle w:val="Default"/>
        <w:ind w:left="720"/>
        <w:rPr>
          <w:color w:val="0070C0"/>
          <w:sz w:val="20"/>
          <w:szCs w:val="20"/>
        </w:rPr>
      </w:pPr>
      <w:r w:rsidRPr="006B1EFB">
        <w:rPr>
          <w:b/>
          <w:bCs/>
          <w:color w:val="0070C0"/>
          <w:sz w:val="20"/>
          <w:szCs w:val="20"/>
        </w:rPr>
        <w:t xml:space="preserve">EXCEPTION: </w:t>
      </w:r>
      <w:r w:rsidRPr="006B1EFB">
        <w:rPr>
          <w:color w:val="0070C0"/>
          <w:sz w:val="20"/>
          <w:szCs w:val="20"/>
        </w:rPr>
        <w:t>Slopes not steeper than 1:48 shall be permitted. (3-5-12)</w:t>
      </w:r>
    </w:p>
    <w:p w:rsidR="006B75B0" w:rsidRPr="001A334F" w:rsidRDefault="006B75B0" w:rsidP="006B75B0">
      <w:pPr>
        <w:rPr>
          <w:rFonts w:ascii="Arial" w:hAnsi="Arial" w:cs="Arial"/>
          <w:b/>
          <w:bCs/>
          <w:sz w:val="20"/>
          <w:szCs w:val="20"/>
        </w:rPr>
      </w:pPr>
    </w:p>
    <w:p w:rsidR="006B75B0" w:rsidRPr="00B476AA" w:rsidRDefault="006B75B0" w:rsidP="006B75B0">
      <w:pPr>
        <w:rPr>
          <w:rFonts w:ascii="Arial" w:hAnsi="Arial" w:cs="Arial"/>
          <w:sz w:val="20"/>
          <w:szCs w:val="20"/>
        </w:rPr>
      </w:pPr>
      <w:r w:rsidRPr="00B476AA">
        <w:rPr>
          <w:rFonts w:ascii="Arial" w:hAnsi="Arial" w:cs="Arial"/>
          <w:b/>
          <w:bCs/>
          <w:sz w:val="20"/>
          <w:szCs w:val="20"/>
        </w:rPr>
        <w:t xml:space="preserve">304.3 Size. </w:t>
      </w:r>
      <w:r w:rsidRPr="00B476AA">
        <w:rPr>
          <w:rFonts w:ascii="Arial" w:hAnsi="Arial" w:cs="Arial"/>
          <w:sz w:val="20"/>
          <w:szCs w:val="20"/>
        </w:rPr>
        <w:t>Turning spaces shall compl</w:t>
      </w:r>
      <w:r>
        <w:rPr>
          <w:rFonts w:ascii="Arial" w:hAnsi="Arial" w:cs="Arial"/>
          <w:sz w:val="20"/>
          <w:szCs w:val="20"/>
        </w:rPr>
        <w:t>y with Sec</w:t>
      </w:r>
      <w:r w:rsidRPr="00B476AA">
        <w:rPr>
          <w:rFonts w:ascii="Arial" w:hAnsi="Arial" w:cs="Arial"/>
          <w:sz w:val="20"/>
          <w:szCs w:val="20"/>
        </w:rPr>
        <w:t>tion 304.3.1 or 304.3.2.</w:t>
      </w:r>
    </w:p>
    <w:p w:rsidR="006B75B0" w:rsidRDefault="006B75B0" w:rsidP="006B75B0">
      <w:pPr>
        <w:rPr>
          <w:rFonts w:ascii="Arial" w:hAnsi="Arial" w:cs="Arial"/>
          <w:b/>
          <w:bCs/>
          <w:sz w:val="20"/>
          <w:szCs w:val="20"/>
        </w:rPr>
      </w:pPr>
    </w:p>
    <w:p w:rsidR="006B75B0" w:rsidRDefault="006B75B0" w:rsidP="006B75B0">
      <w:pPr>
        <w:rPr>
          <w:rFonts w:ascii="Arial" w:hAnsi="Arial" w:cs="Arial"/>
          <w:b/>
          <w:bCs/>
          <w:color w:val="00B050"/>
          <w:sz w:val="20"/>
          <w:szCs w:val="20"/>
        </w:rPr>
      </w:pPr>
      <w:r w:rsidRPr="00283D91">
        <w:rPr>
          <w:rFonts w:ascii="Arial" w:hAnsi="Arial" w:cs="Arial"/>
          <w:b/>
          <w:bCs/>
          <w:sz w:val="20"/>
          <w:szCs w:val="20"/>
        </w:rPr>
        <w:t>304.3.1 Circular Space</w:t>
      </w:r>
      <w:r w:rsidRPr="000C41B4">
        <w:rPr>
          <w:rFonts w:ascii="Arial" w:hAnsi="Arial" w:cs="Arial"/>
          <w:b/>
          <w:bCs/>
          <w:color w:val="00B050"/>
          <w:sz w:val="20"/>
          <w:szCs w:val="20"/>
        </w:rPr>
        <w:t xml:space="preserve">.  </w:t>
      </w:r>
    </w:p>
    <w:p w:rsidR="006B75B0" w:rsidRDefault="006B75B0" w:rsidP="006B75B0">
      <w:pPr>
        <w:rPr>
          <w:rFonts w:ascii="Arial" w:hAnsi="Arial" w:cs="Arial"/>
          <w:b/>
          <w:bCs/>
          <w:color w:val="00B050"/>
          <w:sz w:val="20"/>
          <w:szCs w:val="20"/>
        </w:rPr>
      </w:pPr>
    </w:p>
    <w:p w:rsidR="006B75B0" w:rsidRDefault="006B75B0" w:rsidP="00D2204F">
      <w:pPr>
        <w:rPr>
          <w:rFonts w:ascii="Arial" w:hAnsi="Arial" w:cs="Arial"/>
          <w:sz w:val="20"/>
          <w:szCs w:val="20"/>
        </w:rPr>
      </w:pPr>
      <w:r w:rsidRPr="00727E68">
        <w:rPr>
          <w:rFonts w:ascii="Arial" w:hAnsi="Arial" w:cs="Arial"/>
          <w:b/>
          <w:bCs/>
          <w:color w:val="0070C0"/>
          <w:sz w:val="20"/>
          <w:szCs w:val="20"/>
        </w:rPr>
        <w:t xml:space="preserve">304.3.1.1 </w:t>
      </w:r>
      <w:r w:rsidRPr="00D2204F">
        <w:rPr>
          <w:rFonts w:ascii="Arial" w:hAnsi="Arial" w:cs="Arial"/>
          <w:b/>
          <w:bCs/>
          <w:color w:val="0070C0"/>
          <w:sz w:val="20"/>
          <w:szCs w:val="20"/>
        </w:rPr>
        <w:t xml:space="preserve">New buildings.  </w:t>
      </w:r>
      <w:r w:rsidRPr="00D2204F">
        <w:rPr>
          <w:rFonts w:ascii="Arial" w:hAnsi="Arial" w:cs="Arial"/>
          <w:bCs/>
          <w:color w:val="0070C0"/>
          <w:sz w:val="20"/>
          <w:szCs w:val="20"/>
        </w:rPr>
        <w:t>In new buildings</w:t>
      </w:r>
      <w:r w:rsidRPr="00727E68">
        <w:rPr>
          <w:rFonts w:ascii="Arial" w:hAnsi="Arial" w:cs="Arial"/>
          <w:bCs/>
          <w:color w:val="0070C0"/>
          <w:sz w:val="20"/>
          <w:szCs w:val="20"/>
        </w:rPr>
        <w:t>,</w:t>
      </w:r>
      <w:r w:rsidRPr="00727E68">
        <w:rPr>
          <w:rFonts w:ascii="Arial" w:hAnsi="Arial" w:cs="Arial"/>
          <w:b/>
          <w:bCs/>
          <w:color w:val="0070C0"/>
          <w:sz w:val="20"/>
          <w:szCs w:val="20"/>
        </w:rPr>
        <w:t xml:space="preserve"> </w:t>
      </w:r>
      <w:r w:rsidR="00D2204F">
        <w:rPr>
          <w:rFonts w:ascii="Arial" w:hAnsi="Arial" w:cs="Arial"/>
          <w:bCs/>
          <w:color w:val="0070C0"/>
          <w:sz w:val="20"/>
          <w:szCs w:val="20"/>
        </w:rPr>
        <w:t>t</w:t>
      </w:r>
      <w:r w:rsidRPr="00727E68">
        <w:rPr>
          <w:rFonts w:ascii="Arial" w:hAnsi="Arial" w:cs="Arial"/>
          <w:color w:val="0070C0"/>
          <w:sz w:val="20"/>
          <w:szCs w:val="20"/>
        </w:rPr>
        <w:t>he</w:t>
      </w:r>
      <w:r w:rsidRPr="00FB6627">
        <w:rPr>
          <w:rFonts w:ascii="Arial" w:hAnsi="Arial" w:cs="Arial"/>
          <w:sz w:val="20"/>
          <w:szCs w:val="20"/>
        </w:rPr>
        <w:t xml:space="preserve"> </w:t>
      </w:r>
      <w:r w:rsidRPr="00906AA6">
        <w:rPr>
          <w:rFonts w:ascii="Arial" w:hAnsi="Arial" w:cs="Arial"/>
          <w:sz w:val="20"/>
          <w:szCs w:val="20"/>
        </w:rPr>
        <w:t xml:space="preserve">turning space shall be a circular space with a </w:t>
      </w:r>
      <w:r w:rsidRPr="00727E68">
        <w:rPr>
          <w:rFonts w:ascii="Arial" w:hAnsi="Arial" w:cs="Arial"/>
          <w:color w:val="0070C0"/>
          <w:sz w:val="20"/>
          <w:szCs w:val="20"/>
        </w:rPr>
        <w:t xml:space="preserve">67 inch (1700 mm) </w:t>
      </w:r>
      <w:r w:rsidRPr="00906AA6">
        <w:rPr>
          <w:rFonts w:ascii="Arial" w:hAnsi="Arial" w:cs="Arial"/>
          <w:sz w:val="20"/>
          <w:szCs w:val="20"/>
        </w:rPr>
        <w:t xml:space="preserve">minimum diameter. </w:t>
      </w:r>
      <w:r>
        <w:rPr>
          <w:rFonts w:ascii="Arial" w:hAnsi="Arial" w:cs="Arial"/>
          <w:sz w:val="20"/>
          <w:szCs w:val="20"/>
        </w:rPr>
        <w:t xml:space="preserve"> </w:t>
      </w:r>
      <w:r w:rsidRPr="00906AA6">
        <w:rPr>
          <w:rFonts w:ascii="Arial" w:hAnsi="Arial" w:cs="Arial"/>
          <w:sz w:val="20"/>
          <w:szCs w:val="20"/>
        </w:rPr>
        <w:t>The turning space shall be permitted to include knee and toe clearance complying with Section 306</w:t>
      </w:r>
      <w:r>
        <w:rPr>
          <w:rFonts w:ascii="Arial" w:hAnsi="Arial" w:cs="Arial"/>
          <w:sz w:val="20"/>
          <w:szCs w:val="20"/>
        </w:rPr>
        <w:t xml:space="preserve">.  </w:t>
      </w:r>
      <w:r w:rsidRPr="00727E68">
        <w:rPr>
          <w:rFonts w:ascii="Arial" w:hAnsi="Arial" w:cs="Arial"/>
          <w:color w:val="0070C0"/>
          <w:sz w:val="20"/>
          <w:szCs w:val="20"/>
        </w:rPr>
        <w:t>Where the turning space includes knee and toe clearances under an obstruction, the overlap shall comply with all of the following:  .  (3-6-12) (3-8-12)</w:t>
      </w:r>
      <w:r w:rsidRPr="007720A2">
        <w:rPr>
          <w:rFonts w:ascii="Arial" w:hAnsi="Arial" w:cs="Arial"/>
          <w:sz w:val="20"/>
          <w:szCs w:val="20"/>
        </w:rPr>
        <w:t xml:space="preserve"> </w:t>
      </w:r>
    </w:p>
    <w:p w:rsidR="006B75B0" w:rsidRPr="00727E68" w:rsidRDefault="006B75B0" w:rsidP="006B75B0">
      <w:pPr>
        <w:ind w:left="360"/>
        <w:rPr>
          <w:rFonts w:ascii="Arial" w:hAnsi="Arial" w:cs="Arial"/>
          <w:color w:val="0070C0"/>
          <w:sz w:val="20"/>
          <w:szCs w:val="20"/>
        </w:rPr>
      </w:pPr>
    </w:p>
    <w:p w:rsidR="006B75B0" w:rsidRPr="00727E68" w:rsidRDefault="006B75B0" w:rsidP="006B75B0">
      <w:pPr>
        <w:ind w:left="720"/>
        <w:rPr>
          <w:rFonts w:ascii="Arial" w:hAnsi="Arial" w:cs="Arial"/>
          <w:color w:val="0070C0"/>
          <w:sz w:val="20"/>
          <w:szCs w:val="20"/>
        </w:rPr>
      </w:pPr>
      <w:r w:rsidRPr="00727E68">
        <w:rPr>
          <w:rFonts w:ascii="Arial" w:hAnsi="Arial" w:cs="Arial"/>
          <w:color w:val="0070C0"/>
          <w:sz w:val="20"/>
          <w:szCs w:val="20"/>
        </w:rPr>
        <w:t>1. The depth of the overlap shall not be more than 10 inches (255 mm), and</w:t>
      </w:r>
    </w:p>
    <w:p w:rsidR="006B75B0" w:rsidRPr="00727E68" w:rsidRDefault="006B75B0" w:rsidP="006B75B0">
      <w:pPr>
        <w:ind w:left="720"/>
        <w:rPr>
          <w:rFonts w:ascii="Arial" w:hAnsi="Arial" w:cs="Arial"/>
          <w:color w:val="0070C0"/>
          <w:sz w:val="20"/>
          <w:szCs w:val="20"/>
        </w:rPr>
      </w:pPr>
    </w:p>
    <w:p w:rsidR="006B75B0" w:rsidRPr="00727E68" w:rsidRDefault="006B75B0" w:rsidP="006B75B0">
      <w:pPr>
        <w:ind w:left="720"/>
        <w:rPr>
          <w:rFonts w:ascii="Arial" w:hAnsi="Arial" w:cs="Arial"/>
          <w:color w:val="0070C0"/>
          <w:sz w:val="20"/>
          <w:szCs w:val="20"/>
        </w:rPr>
      </w:pPr>
      <w:r w:rsidRPr="00727E68">
        <w:rPr>
          <w:rFonts w:ascii="Arial" w:hAnsi="Arial" w:cs="Arial"/>
          <w:color w:val="0070C0"/>
          <w:sz w:val="20"/>
          <w:szCs w:val="20"/>
        </w:rPr>
        <w:t xml:space="preserve">2.  The depth shall not exceed the depth of the knee and toe clearances provided, and </w:t>
      </w:r>
    </w:p>
    <w:p w:rsidR="006B75B0" w:rsidRPr="00727E68" w:rsidRDefault="006B75B0" w:rsidP="006B75B0">
      <w:pPr>
        <w:ind w:left="720"/>
        <w:rPr>
          <w:rFonts w:ascii="Arial" w:hAnsi="Arial" w:cs="Arial"/>
          <w:color w:val="0070C0"/>
          <w:sz w:val="20"/>
          <w:szCs w:val="20"/>
        </w:rPr>
      </w:pPr>
    </w:p>
    <w:p w:rsidR="006B75B0" w:rsidRPr="003C39D5" w:rsidRDefault="006B75B0" w:rsidP="006B75B0">
      <w:pPr>
        <w:ind w:left="720"/>
        <w:rPr>
          <w:rFonts w:ascii="Arial" w:hAnsi="Arial" w:cs="Arial"/>
          <w:color w:val="0070C0"/>
          <w:sz w:val="20"/>
          <w:szCs w:val="20"/>
        </w:rPr>
      </w:pPr>
      <w:r w:rsidRPr="00727E68">
        <w:rPr>
          <w:rFonts w:ascii="Arial" w:hAnsi="Arial" w:cs="Arial"/>
          <w:color w:val="0070C0"/>
          <w:sz w:val="20"/>
          <w:szCs w:val="20"/>
        </w:rPr>
        <w:t>3. The overlap shall be permitted only within the turning circle area shown shaded in Figure 304.3.1.  (3-8-12)</w:t>
      </w:r>
    </w:p>
    <w:p w:rsidR="006B75B0" w:rsidRDefault="006B75B0" w:rsidP="006B75B0">
      <w:pPr>
        <w:rPr>
          <w:rFonts w:ascii="Arial" w:hAnsi="Arial" w:cs="Arial"/>
          <w:bCs/>
          <w:i/>
          <w:color w:val="FF0000"/>
          <w:sz w:val="20"/>
          <w:szCs w:val="20"/>
        </w:rPr>
      </w:pPr>
    </w:p>
    <w:p w:rsidR="006B75B0" w:rsidRDefault="006B75B0" w:rsidP="006B75B0">
      <w:pPr>
        <w:rPr>
          <w:rFonts w:ascii="Arial" w:hAnsi="Arial" w:cs="Arial"/>
          <w:bCs/>
          <w:color w:val="FF0000"/>
          <w:sz w:val="20"/>
          <w:szCs w:val="20"/>
        </w:rPr>
      </w:pPr>
      <w:r>
        <w:rPr>
          <w:rFonts w:ascii="Arial" w:hAnsi="Arial" w:cs="Arial"/>
          <w:bCs/>
          <w:noProof/>
          <w:color w:val="FF0000"/>
          <w:sz w:val="20"/>
          <w:szCs w:val="20"/>
        </w:rPr>
        <w:drawing>
          <wp:inline distT="0" distB="0" distL="0" distR="0">
            <wp:extent cx="2183130" cy="1851660"/>
            <wp:effectExtent l="0" t="0" r="7620" b="0"/>
            <wp:docPr id="60" name="Picture 60" descr="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3130" cy="1851660"/>
                    </a:xfrm>
                    <a:prstGeom prst="rect">
                      <a:avLst/>
                    </a:prstGeom>
                    <a:noFill/>
                    <a:ln>
                      <a:noFill/>
                    </a:ln>
                  </pic:spPr>
                </pic:pic>
              </a:graphicData>
            </a:graphic>
          </wp:inline>
        </w:drawing>
      </w:r>
    </w:p>
    <w:p w:rsidR="006B75B0" w:rsidRPr="00D2204F" w:rsidRDefault="006B75B0" w:rsidP="006B75B0">
      <w:pPr>
        <w:rPr>
          <w:rFonts w:ascii="Arial" w:hAnsi="Arial" w:cs="Arial"/>
          <w:bCs/>
          <w:color w:val="FF0000"/>
          <w:sz w:val="20"/>
          <w:szCs w:val="20"/>
        </w:rPr>
      </w:pPr>
      <w:r w:rsidRPr="00D934AE">
        <w:rPr>
          <w:rFonts w:ascii="Arial" w:hAnsi="Arial" w:cs="Arial"/>
          <w:bCs/>
          <w:color w:val="FF0000"/>
          <w:sz w:val="20"/>
          <w:szCs w:val="20"/>
        </w:rPr>
        <w:t xml:space="preserve">Figure 304.3.1.1 </w:t>
      </w:r>
      <w:r w:rsidRPr="00D934AE">
        <w:rPr>
          <w:rFonts w:ascii="Arial" w:hAnsi="Arial" w:cs="Arial"/>
          <w:color w:val="FF0000"/>
          <w:sz w:val="20"/>
          <w:szCs w:val="20"/>
        </w:rPr>
        <w:t xml:space="preserve">Circular turning space </w:t>
      </w:r>
      <w:r w:rsidRPr="00D2204F">
        <w:rPr>
          <w:rFonts w:ascii="Arial" w:hAnsi="Arial" w:cs="Arial"/>
          <w:color w:val="FF0000"/>
          <w:sz w:val="20"/>
          <w:szCs w:val="20"/>
        </w:rPr>
        <w:t>– new</w:t>
      </w:r>
      <w:r w:rsidR="00D2204F">
        <w:rPr>
          <w:rFonts w:ascii="Arial" w:hAnsi="Arial" w:cs="Arial"/>
          <w:color w:val="FF0000"/>
          <w:sz w:val="20"/>
          <w:szCs w:val="20"/>
        </w:rPr>
        <w:t xml:space="preserve"> buildings</w:t>
      </w:r>
      <w:r w:rsidRPr="00D2204F">
        <w:rPr>
          <w:rFonts w:ascii="Arial" w:hAnsi="Arial" w:cs="Arial"/>
          <w:color w:val="FF0000"/>
          <w:sz w:val="20"/>
          <w:szCs w:val="20"/>
        </w:rPr>
        <w:t>– size and overlap</w:t>
      </w:r>
    </w:p>
    <w:p w:rsidR="006B75B0" w:rsidRPr="00D2204F" w:rsidRDefault="006B75B0" w:rsidP="006B75B0">
      <w:pPr>
        <w:rPr>
          <w:rFonts w:ascii="Arial" w:hAnsi="Arial" w:cs="Arial"/>
          <w:b/>
          <w:bCs/>
          <w:color w:val="FF0000"/>
          <w:sz w:val="20"/>
          <w:szCs w:val="20"/>
        </w:rPr>
      </w:pPr>
    </w:p>
    <w:p w:rsidR="006B75B0" w:rsidRDefault="006B75B0" w:rsidP="006B75B0">
      <w:pPr>
        <w:rPr>
          <w:rFonts w:ascii="Arial" w:hAnsi="Arial" w:cs="Arial"/>
          <w:sz w:val="20"/>
          <w:szCs w:val="20"/>
        </w:rPr>
      </w:pPr>
      <w:r w:rsidRPr="00D2204F">
        <w:rPr>
          <w:rFonts w:ascii="Arial" w:hAnsi="Arial" w:cs="Arial"/>
          <w:b/>
          <w:bCs/>
          <w:color w:val="0070C0"/>
          <w:sz w:val="20"/>
          <w:szCs w:val="20"/>
        </w:rPr>
        <w:t>304.3.1.2 Existing</w:t>
      </w:r>
      <w:r w:rsidR="00D2204F">
        <w:rPr>
          <w:rFonts w:ascii="Arial" w:hAnsi="Arial" w:cs="Arial"/>
          <w:b/>
          <w:bCs/>
          <w:color w:val="0070C0"/>
          <w:sz w:val="20"/>
          <w:szCs w:val="20"/>
        </w:rPr>
        <w:t xml:space="preserve"> buildings</w:t>
      </w:r>
      <w:r w:rsidRPr="00D2204F">
        <w:rPr>
          <w:rFonts w:ascii="Arial" w:hAnsi="Arial" w:cs="Arial"/>
          <w:b/>
          <w:bCs/>
          <w:color w:val="0070C0"/>
          <w:sz w:val="20"/>
          <w:szCs w:val="20"/>
        </w:rPr>
        <w:t>.</w:t>
      </w:r>
      <w:r w:rsidRPr="00D2204F">
        <w:rPr>
          <w:rFonts w:ascii="Arial" w:hAnsi="Arial" w:cs="Arial"/>
          <w:bCs/>
          <w:color w:val="0070C0"/>
          <w:sz w:val="20"/>
          <w:szCs w:val="20"/>
        </w:rPr>
        <w:t xml:space="preserve">  In existing</w:t>
      </w:r>
      <w:r w:rsidR="00D2204F">
        <w:rPr>
          <w:rFonts w:ascii="Arial" w:hAnsi="Arial" w:cs="Arial"/>
          <w:bCs/>
          <w:color w:val="0070C0"/>
          <w:sz w:val="20"/>
          <w:szCs w:val="20"/>
        </w:rPr>
        <w:t xml:space="preserve"> buildings</w:t>
      </w:r>
      <w:r w:rsidRPr="00D2204F">
        <w:rPr>
          <w:rFonts w:ascii="Arial" w:hAnsi="Arial" w:cs="Arial"/>
          <w:bCs/>
          <w:color w:val="0070C0"/>
          <w:sz w:val="20"/>
          <w:szCs w:val="20"/>
        </w:rPr>
        <w:t>,</w:t>
      </w:r>
      <w:r w:rsidRPr="00D2204F">
        <w:rPr>
          <w:rFonts w:ascii="Arial" w:hAnsi="Arial" w:cs="Arial"/>
          <w:b/>
          <w:bCs/>
          <w:color w:val="0070C0"/>
          <w:sz w:val="20"/>
          <w:szCs w:val="20"/>
        </w:rPr>
        <w:t xml:space="preserve"> </w:t>
      </w:r>
      <w:r w:rsidRPr="00D2204F">
        <w:rPr>
          <w:rFonts w:ascii="Arial" w:hAnsi="Arial" w:cs="Arial"/>
          <w:bCs/>
          <w:color w:val="0070C0"/>
          <w:sz w:val="20"/>
          <w:szCs w:val="20"/>
        </w:rPr>
        <w:t>t</w:t>
      </w:r>
      <w:r w:rsidRPr="00D2204F">
        <w:rPr>
          <w:rFonts w:ascii="Arial" w:hAnsi="Arial" w:cs="Arial"/>
          <w:color w:val="0070C0"/>
          <w:sz w:val="20"/>
          <w:szCs w:val="20"/>
        </w:rPr>
        <w:t xml:space="preserve">he turning space shall be a circular space with a 60 inch (1525 mm) minimum diameter. </w:t>
      </w:r>
      <w:r w:rsidRPr="00727E68">
        <w:rPr>
          <w:rFonts w:ascii="Arial" w:hAnsi="Arial" w:cs="Arial"/>
          <w:color w:val="0070C0"/>
          <w:sz w:val="20"/>
          <w:szCs w:val="20"/>
        </w:rPr>
        <w:t>The turning space shall be permitted to include knee and toe clearance complying with Section 306.  (3-6-12 PC2)</w:t>
      </w:r>
      <w:r w:rsidRPr="007720A2">
        <w:rPr>
          <w:rFonts w:ascii="Arial" w:hAnsi="Arial" w:cs="Arial"/>
          <w:sz w:val="20"/>
          <w:szCs w:val="20"/>
        </w:rPr>
        <w:t xml:space="preserve"> </w:t>
      </w:r>
    </w:p>
    <w:p w:rsidR="006B75B0" w:rsidRPr="00727E68" w:rsidRDefault="006B75B0" w:rsidP="006B75B0">
      <w:pPr>
        <w:ind w:left="720"/>
        <w:rPr>
          <w:rFonts w:ascii="Arial" w:hAnsi="Arial" w:cs="Arial"/>
          <w:color w:val="0070C0"/>
          <w:sz w:val="20"/>
          <w:szCs w:val="20"/>
        </w:rPr>
      </w:pPr>
    </w:p>
    <w:p w:rsidR="006B75B0" w:rsidRDefault="006B75B0" w:rsidP="006B75B0">
      <w:pPr>
        <w:rPr>
          <w:rFonts w:ascii="Arial" w:hAnsi="Arial" w:cs="Arial"/>
          <w:color w:val="00B050"/>
          <w:sz w:val="20"/>
          <w:szCs w:val="20"/>
        </w:rPr>
      </w:pPr>
    </w:p>
    <w:p w:rsidR="006B75B0" w:rsidRDefault="006B75B0" w:rsidP="006B75B0">
      <w:pPr>
        <w:rPr>
          <w:rFonts w:ascii="Arial" w:hAnsi="Arial" w:cs="Arial"/>
          <w:i/>
          <w:color w:val="FF0000"/>
          <w:sz w:val="20"/>
          <w:szCs w:val="20"/>
        </w:rPr>
      </w:pPr>
      <w:r>
        <w:rPr>
          <w:rFonts w:ascii="Arial" w:hAnsi="Arial" w:cs="Arial"/>
          <w:i/>
          <w:noProof/>
          <w:color w:val="FF0000"/>
          <w:sz w:val="20"/>
          <w:szCs w:val="20"/>
        </w:rPr>
        <w:drawing>
          <wp:inline distT="0" distB="0" distL="0" distR="0">
            <wp:extent cx="2743200" cy="1714500"/>
            <wp:effectExtent l="0" t="0" r="0" b="0"/>
            <wp:docPr id="59" name="Picture 59" descr="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inline>
        </w:drawing>
      </w:r>
    </w:p>
    <w:p w:rsidR="006B75B0" w:rsidRPr="00D934AE" w:rsidRDefault="006B75B0" w:rsidP="006B75B0">
      <w:pPr>
        <w:rPr>
          <w:rFonts w:ascii="Arial" w:hAnsi="Arial" w:cs="Arial"/>
          <w:i/>
          <w:color w:val="FF0000"/>
          <w:sz w:val="20"/>
          <w:szCs w:val="20"/>
        </w:rPr>
      </w:pPr>
      <w:r w:rsidRPr="00D934AE">
        <w:rPr>
          <w:rFonts w:ascii="Arial" w:hAnsi="Arial" w:cs="Arial"/>
          <w:i/>
          <w:color w:val="FF0000"/>
          <w:sz w:val="20"/>
          <w:szCs w:val="20"/>
        </w:rPr>
        <w:t xml:space="preserve">Figure 304.3.1.2 Circular turning </w:t>
      </w:r>
      <w:r w:rsidRPr="00D2204F">
        <w:rPr>
          <w:rFonts w:ascii="Arial" w:hAnsi="Arial" w:cs="Arial"/>
          <w:i/>
          <w:color w:val="FF0000"/>
          <w:sz w:val="20"/>
          <w:szCs w:val="20"/>
        </w:rPr>
        <w:t>space – existing</w:t>
      </w:r>
      <w:r w:rsidR="00D2204F">
        <w:rPr>
          <w:rFonts w:ascii="Arial" w:hAnsi="Arial" w:cs="Arial"/>
          <w:i/>
          <w:color w:val="FF0000"/>
          <w:sz w:val="20"/>
          <w:szCs w:val="20"/>
        </w:rPr>
        <w:t xml:space="preserve"> buildings</w:t>
      </w:r>
      <w:r w:rsidRPr="00D2204F">
        <w:rPr>
          <w:rFonts w:ascii="Arial" w:hAnsi="Arial" w:cs="Arial"/>
          <w:i/>
          <w:color w:val="FF0000"/>
          <w:sz w:val="20"/>
          <w:szCs w:val="20"/>
        </w:rPr>
        <w:t xml:space="preserve"> </w:t>
      </w:r>
      <w:r w:rsidRPr="00D2204F">
        <w:rPr>
          <w:rFonts w:ascii="Arial" w:hAnsi="Arial" w:cs="Arial"/>
          <w:color w:val="FF0000"/>
          <w:sz w:val="20"/>
          <w:szCs w:val="20"/>
        </w:rPr>
        <w:t xml:space="preserve"> </w:t>
      </w:r>
      <w:r w:rsidRPr="00D2204F">
        <w:rPr>
          <w:rFonts w:ascii="Arial" w:hAnsi="Arial" w:cs="Arial"/>
          <w:i/>
          <w:color w:val="FF0000"/>
          <w:sz w:val="20"/>
          <w:szCs w:val="20"/>
        </w:rPr>
        <w:t>– size and overlap</w:t>
      </w:r>
    </w:p>
    <w:p w:rsidR="006B75B0" w:rsidRDefault="006B75B0" w:rsidP="006B75B0">
      <w:pPr>
        <w:rPr>
          <w:rFonts w:ascii="Arial" w:hAnsi="Arial" w:cs="Arial"/>
          <w:b/>
          <w:bCs/>
          <w:sz w:val="20"/>
          <w:szCs w:val="20"/>
        </w:rPr>
      </w:pPr>
    </w:p>
    <w:p w:rsidR="006B75B0" w:rsidRDefault="006B75B0" w:rsidP="006B75B0">
      <w:pPr>
        <w:rPr>
          <w:rFonts w:ascii="Arial" w:hAnsi="Arial" w:cs="Arial"/>
          <w:b/>
          <w:bCs/>
          <w:sz w:val="20"/>
          <w:szCs w:val="20"/>
        </w:rPr>
      </w:pPr>
      <w:r>
        <w:rPr>
          <w:rFonts w:ascii="Arial" w:hAnsi="Arial" w:cs="Arial"/>
          <w:b/>
          <w:bCs/>
          <w:sz w:val="20"/>
          <w:szCs w:val="20"/>
        </w:rPr>
        <w:t xml:space="preserve">304.3.2 T-Shaped Space. </w:t>
      </w:r>
    </w:p>
    <w:p w:rsidR="006B75B0" w:rsidRDefault="006B75B0" w:rsidP="006B75B0">
      <w:pPr>
        <w:rPr>
          <w:rFonts w:ascii="Arial" w:hAnsi="Arial" w:cs="Arial"/>
          <w:b/>
          <w:bCs/>
          <w:sz w:val="20"/>
          <w:szCs w:val="20"/>
        </w:rPr>
      </w:pPr>
    </w:p>
    <w:p w:rsidR="006B75B0" w:rsidRPr="00727E68" w:rsidRDefault="006B75B0" w:rsidP="006B75B0">
      <w:pPr>
        <w:rPr>
          <w:rFonts w:ascii="Arial" w:hAnsi="Arial" w:cs="Arial"/>
          <w:color w:val="0070C0"/>
          <w:sz w:val="20"/>
          <w:szCs w:val="20"/>
        </w:rPr>
      </w:pPr>
      <w:r w:rsidRPr="00727E68">
        <w:rPr>
          <w:rFonts w:ascii="Arial" w:hAnsi="Arial" w:cs="Arial"/>
          <w:b/>
          <w:bCs/>
          <w:color w:val="0070C0"/>
          <w:sz w:val="20"/>
          <w:szCs w:val="20"/>
        </w:rPr>
        <w:t xml:space="preserve">304.3.2.1 </w:t>
      </w:r>
      <w:r w:rsidRPr="00D2204F">
        <w:rPr>
          <w:rFonts w:ascii="Arial" w:hAnsi="Arial" w:cs="Arial"/>
          <w:b/>
          <w:bCs/>
          <w:color w:val="0070C0"/>
          <w:sz w:val="20"/>
          <w:szCs w:val="20"/>
        </w:rPr>
        <w:t>New</w:t>
      </w:r>
      <w:r w:rsidR="00D2204F">
        <w:rPr>
          <w:rFonts w:ascii="Arial" w:hAnsi="Arial" w:cs="Arial"/>
          <w:b/>
          <w:bCs/>
          <w:color w:val="0070C0"/>
          <w:sz w:val="20"/>
          <w:szCs w:val="20"/>
        </w:rPr>
        <w:t xml:space="preserve"> construction</w:t>
      </w:r>
      <w:r w:rsidRPr="00D2204F">
        <w:rPr>
          <w:rFonts w:ascii="Arial" w:hAnsi="Arial" w:cs="Arial"/>
          <w:b/>
          <w:bCs/>
          <w:color w:val="00B050"/>
          <w:sz w:val="20"/>
          <w:szCs w:val="20"/>
        </w:rPr>
        <w:t xml:space="preserve">.  </w:t>
      </w:r>
      <w:r w:rsidRPr="00D2204F">
        <w:rPr>
          <w:rFonts w:ascii="Arial" w:hAnsi="Arial" w:cs="Arial"/>
          <w:bCs/>
          <w:color w:val="0070C0"/>
          <w:sz w:val="20"/>
          <w:szCs w:val="20"/>
        </w:rPr>
        <w:t>In new</w:t>
      </w:r>
      <w:r w:rsidR="00D2204F">
        <w:rPr>
          <w:rFonts w:ascii="Arial" w:hAnsi="Arial" w:cs="Arial"/>
          <w:bCs/>
          <w:color w:val="0070C0"/>
          <w:sz w:val="20"/>
          <w:szCs w:val="20"/>
        </w:rPr>
        <w:t xml:space="preserve"> buildings</w:t>
      </w:r>
      <w:r w:rsidRPr="00727E68">
        <w:rPr>
          <w:rFonts w:ascii="Arial" w:hAnsi="Arial" w:cs="Arial"/>
          <w:bCs/>
          <w:color w:val="0070C0"/>
          <w:sz w:val="20"/>
          <w:szCs w:val="20"/>
        </w:rPr>
        <w:t>,</w:t>
      </w:r>
      <w:r w:rsidRPr="00727E68">
        <w:rPr>
          <w:rFonts w:ascii="Arial" w:hAnsi="Arial" w:cs="Arial"/>
          <w:b/>
          <w:bCs/>
          <w:color w:val="0070C0"/>
          <w:sz w:val="20"/>
          <w:szCs w:val="20"/>
        </w:rPr>
        <w:t xml:space="preserve"> T</w:t>
      </w:r>
      <w:r w:rsidRPr="00727E68">
        <w:rPr>
          <w:rFonts w:ascii="Arial" w:hAnsi="Arial" w:cs="Arial"/>
          <w:color w:val="0070C0"/>
          <w:sz w:val="20"/>
          <w:szCs w:val="20"/>
        </w:rPr>
        <w:t>he turning space shall be a T–shaped space complying with one of the following:</w:t>
      </w:r>
      <w:r w:rsidRPr="007720A2">
        <w:rPr>
          <w:rFonts w:ascii="Arial" w:hAnsi="Arial" w:cs="Arial"/>
          <w:sz w:val="20"/>
          <w:szCs w:val="20"/>
        </w:rPr>
        <w:t xml:space="preserve"> </w:t>
      </w:r>
    </w:p>
    <w:p w:rsidR="006B75B0" w:rsidRPr="00727E68" w:rsidRDefault="006B75B0" w:rsidP="006B75B0">
      <w:pPr>
        <w:rPr>
          <w:rFonts w:ascii="Arial" w:hAnsi="Arial" w:cs="Arial"/>
          <w:color w:val="0070C0"/>
          <w:sz w:val="20"/>
          <w:szCs w:val="20"/>
        </w:rPr>
      </w:pPr>
    </w:p>
    <w:p w:rsidR="006B75B0" w:rsidRPr="00727E68" w:rsidRDefault="006B75B0" w:rsidP="006B75B0">
      <w:pPr>
        <w:pStyle w:val="ListParagraph"/>
        <w:ind w:left="360"/>
        <w:rPr>
          <w:rFonts w:ascii="Arial" w:hAnsi="Arial" w:cs="Arial"/>
          <w:color w:val="0070C0"/>
          <w:sz w:val="20"/>
          <w:szCs w:val="20"/>
        </w:rPr>
      </w:pPr>
      <w:r w:rsidRPr="00727E68">
        <w:rPr>
          <w:rFonts w:ascii="Arial" w:hAnsi="Arial" w:cs="Arial"/>
          <w:color w:val="0070C0"/>
          <w:sz w:val="20"/>
          <w:szCs w:val="20"/>
        </w:rPr>
        <w:t>1.  A T-shaped space, clear of obstruction, that fits within an area 68 inches (1725 mm) wide and 60 inches (1525 mm) deep, with two arms and one base that are all 36 inches (915 mm) minimum in width.  Each arm shall extend 16 inches (405 mm) minimum from each side of the base located opposite the other, and the base shall extend 24 inches (610 mm) minimum from the arms.  At the intersection of each arm and the base, the interior corners shall be chamfered for 8 inches (205 mm) minimum along both the arm and along the base.</w:t>
      </w:r>
    </w:p>
    <w:p w:rsidR="006B75B0" w:rsidRPr="00A53E32" w:rsidRDefault="006B75B0" w:rsidP="006B75B0">
      <w:pPr>
        <w:pStyle w:val="ListParagraph"/>
        <w:ind w:left="360"/>
        <w:rPr>
          <w:rFonts w:ascii="Arial" w:hAnsi="Arial" w:cs="Arial"/>
          <w:color w:val="009900"/>
          <w:sz w:val="20"/>
          <w:szCs w:val="20"/>
        </w:rPr>
      </w:pPr>
    </w:p>
    <w:p w:rsidR="006B75B0" w:rsidRPr="00727E68" w:rsidRDefault="006B75B0" w:rsidP="006B75B0">
      <w:pPr>
        <w:pStyle w:val="ListParagraph"/>
        <w:ind w:left="360"/>
        <w:rPr>
          <w:rFonts w:ascii="Arial" w:hAnsi="Arial" w:cs="Arial"/>
          <w:color w:val="0070C0"/>
          <w:sz w:val="20"/>
          <w:szCs w:val="20"/>
        </w:rPr>
      </w:pPr>
      <w:r w:rsidRPr="00727E68">
        <w:rPr>
          <w:rFonts w:ascii="Arial" w:hAnsi="Arial" w:cs="Arial"/>
          <w:color w:val="0070C0"/>
          <w:sz w:val="20"/>
          <w:szCs w:val="20"/>
        </w:rPr>
        <w:t xml:space="preserve">2.  A T-shaped space, clear of obstruction, that fits within an area 64 inches (1625 mm) wide and 60 inches (1525 mm) deep, with two arms 38 inches (965 mm) minimum in width and a base 42 inches (1065 mm) minimum in width.  Each arm shall extend 11 inches (280 mm) minimum from each side of the base, located opposite the other, and the base shall extend 22 inches (560 mm) minimum from each arm.  </w:t>
      </w:r>
    </w:p>
    <w:p w:rsidR="006B75B0" w:rsidRPr="00727E68" w:rsidRDefault="006B75B0" w:rsidP="006B75B0">
      <w:pPr>
        <w:pStyle w:val="ListParagraph"/>
        <w:ind w:left="360"/>
        <w:rPr>
          <w:rFonts w:ascii="Arial" w:hAnsi="Arial" w:cs="Arial"/>
          <w:color w:val="0070C0"/>
          <w:sz w:val="20"/>
          <w:szCs w:val="20"/>
        </w:rPr>
      </w:pPr>
    </w:p>
    <w:p w:rsidR="006B75B0" w:rsidRPr="00727E68" w:rsidRDefault="006B75B0" w:rsidP="006B75B0">
      <w:pPr>
        <w:ind w:left="360"/>
        <w:contextualSpacing/>
        <w:rPr>
          <w:rFonts w:ascii="Arial" w:hAnsi="Arial" w:cs="Arial"/>
          <w:color w:val="0070C0"/>
          <w:sz w:val="20"/>
          <w:szCs w:val="20"/>
        </w:rPr>
      </w:pPr>
      <w:r w:rsidRPr="00727E68">
        <w:rPr>
          <w:rFonts w:ascii="Arial" w:hAnsi="Arial" w:cs="Arial"/>
          <w:color w:val="0070C0"/>
          <w:sz w:val="20"/>
          <w:szCs w:val="20"/>
        </w:rPr>
        <w:t xml:space="preserve">3.   A T-shaped space, clear of obstruction, 64 inches (1625 mm) wide and 60 inches (1525 mm) deep, with two arms and one base 40 inches (1015 mm) minimum in width.  </w:t>
      </w:r>
      <w:r w:rsidRPr="00D2204F">
        <w:rPr>
          <w:rFonts w:ascii="Arial" w:hAnsi="Arial" w:cs="Arial"/>
          <w:color w:val="FF0000"/>
          <w:sz w:val="20"/>
          <w:szCs w:val="20"/>
        </w:rPr>
        <w:t xml:space="preserve">Each arm shall extend  12 inches </w:t>
      </w:r>
      <w:r w:rsidRPr="00727E68">
        <w:rPr>
          <w:rFonts w:ascii="Arial" w:hAnsi="Arial" w:cs="Arial"/>
          <w:color w:val="0070C0"/>
          <w:sz w:val="20"/>
          <w:szCs w:val="20"/>
        </w:rPr>
        <w:t xml:space="preserve">(305 mm) minimum from each side of the base and the base shall extend 20 inches (510 </w:t>
      </w:r>
      <w:r w:rsidRPr="00727E68">
        <w:rPr>
          <w:rFonts w:ascii="Arial" w:hAnsi="Arial" w:cs="Arial"/>
          <w:color w:val="0070C0"/>
          <w:sz w:val="20"/>
          <w:szCs w:val="20"/>
        </w:rPr>
        <w:lastRenderedPageBreak/>
        <w:t>mm) minimum from each arm.  (3-9-12)(3-9-12 PC3)</w:t>
      </w:r>
      <w:r w:rsidR="00D2204F">
        <w:rPr>
          <w:rFonts w:ascii="Arial" w:hAnsi="Arial" w:cs="Arial"/>
          <w:sz w:val="20"/>
        </w:rPr>
        <w:t xml:space="preserve"> </w:t>
      </w:r>
      <w:r w:rsidR="00D2204F">
        <w:rPr>
          <w:rFonts w:ascii="Arial" w:hAnsi="Arial" w:cs="Arial"/>
          <w:color w:val="FF0000"/>
          <w:sz w:val="20"/>
        </w:rPr>
        <w:t>(ed.)</w:t>
      </w:r>
    </w:p>
    <w:p w:rsidR="006B75B0" w:rsidRPr="00A53E32" w:rsidRDefault="006B75B0" w:rsidP="006B75B0">
      <w:pPr>
        <w:contextualSpacing/>
        <w:rPr>
          <w:rFonts w:ascii="Arial" w:hAnsi="Arial" w:cs="Arial"/>
          <w:color w:val="00B050"/>
          <w:sz w:val="20"/>
          <w:szCs w:val="20"/>
        </w:rPr>
      </w:pPr>
    </w:p>
    <w:p w:rsidR="006B75B0" w:rsidRPr="009A27C9" w:rsidRDefault="006B75B0" w:rsidP="006B75B0">
      <w:pPr>
        <w:pStyle w:val="ListParagraph"/>
        <w:rPr>
          <w:rFonts w:ascii="Arial" w:hAnsi="Arial" w:cs="Arial"/>
          <w:sz w:val="20"/>
          <w:szCs w:val="20"/>
        </w:rPr>
      </w:pPr>
      <w:r w:rsidRPr="00D2204F">
        <w:rPr>
          <w:rFonts w:ascii="Arial" w:hAnsi="Arial" w:cs="Arial"/>
          <w:b/>
          <w:color w:val="FF0000"/>
          <w:sz w:val="20"/>
          <w:szCs w:val="20"/>
        </w:rPr>
        <w:t>Exception:</w:t>
      </w:r>
      <w:r w:rsidRPr="00A53E32">
        <w:rPr>
          <w:rFonts w:ascii="Arial" w:hAnsi="Arial" w:cs="Arial"/>
          <w:color w:val="00B050"/>
          <w:sz w:val="20"/>
          <w:szCs w:val="20"/>
        </w:rPr>
        <w:t xml:space="preserve">  </w:t>
      </w:r>
      <w:r w:rsidRPr="00727E68">
        <w:rPr>
          <w:rFonts w:ascii="Arial" w:hAnsi="Arial" w:cs="Arial"/>
          <w:color w:val="0070C0"/>
          <w:sz w:val="20"/>
          <w:szCs w:val="20"/>
        </w:rPr>
        <w:t xml:space="preserve">The turning space shall be permitted to include knee and toe clearance complying with Section 306 </w:t>
      </w:r>
      <w:r w:rsidRPr="00D2204F">
        <w:rPr>
          <w:rFonts w:ascii="Arial" w:hAnsi="Arial" w:cs="Arial"/>
          <w:color w:val="FF0000"/>
          <w:sz w:val="20"/>
          <w:szCs w:val="20"/>
        </w:rPr>
        <w:t>for the portions</w:t>
      </w:r>
      <w:r w:rsidRPr="00D2204F">
        <w:rPr>
          <w:rFonts w:ascii="Arial" w:hAnsi="Arial" w:cs="Arial"/>
          <w:color w:val="0070C0"/>
          <w:sz w:val="20"/>
          <w:szCs w:val="20"/>
        </w:rPr>
        <w:t xml:space="preserve"> </w:t>
      </w:r>
      <w:r w:rsidRPr="00D2204F">
        <w:rPr>
          <w:rFonts w:ascii="Arial" w:hAnsi="Arial" w:cs="Arial"/>
          <w:color w:val="FF0000"/>
          <w:sz w:val="20"/>
          <w:szCs w:val="20"/>
        </w:rPr>
        <w:t>beyond the chamfer</w:t>
      </w:r>
      <w:r>
        <w:rPr>
          <w:rFonts w:ascii="Arial" w:hAnsi="Arial" w:cs="Arial"/>
          <w:color w:val="0070C0"/>
          <w:sz w:val="20"/>
          <w:szCs w:val="20"/>
        </w:rPr>
        <w:t xml:space="preserve"> of either the base or one arm</w:t>
      </w:r>
      <w:r>
        <w:rPr>
          <w:rFonts w:ascii="Arial" w:hAnsi="Arial" w:cs="Arial"/>
          <w:sz w:val="20"/>
          <w:szCs w:val="20"/>
        </w:rPr>
        <w:t xml:space="preserve">. </w:t>
      </w:r>
      <w:r w:rsidRPr="0027456A">
        <w:rPr>
          <w:rFonts w:ascii="Arial" w:hAnsi="Arial" w:cs="Arial"/>
          <w:color w:val="FF0000"/>
          <w:sz w:val="20"/>
          <w:szCs w:val="20"/>
        </w:rPr>
        <w:t>(7-5-16)</w:t>
      </w:r>
      <w:r w:rsidRPr="00C63629">
        <w:rPr>
          <w:rFonts w:ascii="Arial" w:hAnsi="Arial" w:cs="Arial"/>
          <w:sz w:val="20"/>
          <w:szCs w:val="20"/>
        </w:rPr>
        <w:t xml:space="preserve"> </w:t>
      </w:r>
      <w:r w:rsidR="00D2204F">
        <w:rPr>
          <w:rFonts w:ascii="Arial" w:hAnsi="Arial" w:cs="Arial"/>
          <w:color w:val="FF0000"/>
          <w:sz w:val="20"/>
        </w:rPr>
        <w:t>(ed.)</w:t>
      </w:r>
    </w:p>
    <w:p w:rsidR="006B75B0" w:rsidRDefault="006B75B0" w:rsidP="00D2204F">
      <w:pPr>
        <w:pStyle w:val="ListParagraph"/>
        <w:ind w:left="0"/>
        <w:rPr>
          <w:rFonts w:ascii="Arial" w:hAnsi="Arial" w:cs="Arial"/>
          <w:i/>
          <w:color w:val="FF0000"/>
          <w:sz w:val="20"/>
          <w:szCs w:val="20"/>
        </w:rPr>
      </w:pPr>
    </w:p>
    <w:p w:rsidR="00D2204F" w:rsidRDefault="00D2204F" w:rsidP="00D2204F">
      <w:pPr>
        <w:pStyle w:val="ListParagraph"/>
        <w:ind w:left="0"/>
        <w:rPr>
          <w:rFonts w:ascii="Arial" w:hAnsi="Arial" w:cs="Arial"/>
          <w:color w:val="00B050"/>
          <w:sz w:val="20"/>
          <w:szCs w:val="20"/>
        </w:rPr>
      </w:pPr>
    </w:p>
    <w:p w:rsidR="006B75B0" w:rsidRDefault="006B75B0" w:rsidP="006B75B0">
      <w:pPr>
        <w:pStyle w:val="ListParagraph"/>
        <w:rPr>
          <w:rFonts w:ascii="Arial" w:hAnsi="Arial" w:cs="Arial"/>
          <w:color w:val="00B050"/>
          <w:sz w:val="20"/>
          <w:szCs w:val="20"/>
        </w:rPr>
      </w:pPr>
      <w:r>
        <w:rPr>
          <w:rFonts w:ascii="Arial" w:hAnsi="Arial" w:cs="Arial"/>
          <w:noProof/>
          <w:color w:val="00B050"/>
          <w:sz w:val="20"/>
          <w:szCs w:val="20"/>
        </w:rPr>
        <w:drawing>
          <wp:inline distT="0" distB="0" distL="0" distR="0">
            <wp:extent cx="2548890" cy="2263140"/>
            <wp:effectExtent l="0" t="0" r="3810" b="3810"/>
            <wp:docPr id="58" name="Picture 58" descr="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8890" cy="2263140"/>
                    </a:xfrm>
                    <a:prstGeom prst="rect">
                      <a:avLst/>
                    </a:prstGeom>
                    <a:noFill/>
                    <a:ln>
                      <a:noFill/>
                    </a:ln>
                  </pic:spPr>
                </pic:pic>
              </a:graphicData>
            </a:graphic>
          </wp:inline>
        </w:drawing>
      </w:r>
    </w:p>
    <w:p w:rsidR="006B75B0" w:rsidRDefault="006B75B0" w:rsidP="006B75B0">
      <w:pPr>
        <w:pStyle w:val="ListParagraph"/>
        <w:rPr>
          <w:rFonts w:ascii="Arial" w:hAnsi="Arial" w:cs="Arial"/>
          <w:i/>
          <w:color w:val="FF0000"/>
          <w:sz w:val="20"/>
          <w:szCs w:val="20"/>
        </w:rPr>
      </w:pPr>
      <w:r w:rsidRPr="006374B9">
        <w:rPr>
          <w:rFonts w:ascii="Arial" w:hAnsi="Arial" w:cs="Arial"/>
          <w:i/>
          <w:color w:val="FF0000"/>
          <w:sz w:val="20"/>
          <w:szCs w:val="20"/>
        </w:rPr>
        <w:t>Figure 304.3.2.1(a) T-shaped turning space</w:t>
      </w:r>
      <w:r w:rsidR="00D2204F">
        <w:rPr>
          <w:rFonts w:ascii="Arial" w:hAnsi="Arial" w:cs="Arial"/>
          <w:i/>
          <w:color w:val="FF0000"/>
          <w:sz w:val="20"/>
          <w:szCs w:val="20"/>
        </w:rPr>
        <w:t>- new buildings</w:t>
      </w:r>
      <w:r w:rsidRPr="00D934AE">
        <w:rPr>
          <w:rFonts w:ascii="Arial" w:hAnsi="Arial" w:cs="Arial"/>
          <w:color w:val="FF0000"/>
          <w:sz w:val="20"/>
          <w:szCs w:val="20"/>
        </w:rPr>
        <w:t xml:space="preserve"> </w:t>
      </w:r>
      <w:r w:rsidRPr="006374B9">
        <w:rPr>
          <w:rFonts w:ascii="Arial" w:hAnsi="Arial" w:cs="Arial"/>
          <w:i/>
          <w:color w:val="FF0000"/>
          <w:sz w:val="20"/>
          <w:szCs w:val="20"/>
        </w:rPr>
        <w:t>- Option 1</w:t>
      </w:r>
    </w:p>
    <w:p w:rsidR="006B75B0" w:rsidRDefault="006B75B0" w:rsidP="006B75B0">
      <w:pPr>
        <w:pStyle w:val="ListParagraph"/>
        <w:rPr>
          <w:rFonts w:ascii="Arial" w:hAnsi="Arial" w:cs="Arial"/>
          <w:i/>
          <w:color w:val="FF0000"/>
          <w:sz w:val="20"/>
          <w:szCs w:val="20"/>
        </w:rPr>
      </w:pPr>
    </w:p>
    <w:p w:rsidR="006B75B0" w:rsidRPr="006374B9" w:rsidRDefault="006B75B0" w:rsidP="006B75B0">
      <w:pPr>
        <w:pStyle w:val="ListParagraph"/>
        <w:rPr>
          <w:rFonts w:ascii="Arial" w:hAnsi="Arial" w:cs="Arial"/>
          <w:i/>
          <w:color w:val="FF0000"/>
          <w:sz w:val="20"/>
          <w:szCs w:val="20"/>
        </w:rPr>
      </w:pPr>
      <w:r>
        <w:rPr>
          <w:rFonts w:ascii="Arial" w:hAnsi="Arial" w:cs="Arial"/>
          <w:i/>
          <w:noProof/>
          <w:color w:val="FF0000"/>
          <w:sz w:val="20"/>
          <w:szCs w:val="20"/>
        </w:rPr>
        <w:drawing>
          <wp:inline distT="0" distB="0" distL="0" distR="0">
            <wp:extent cx="2823210" cy="1954530"/>
            <wp:effectExtent l="0" t="0" r="0" b="7620"/>
            <wp:docPr id="57" name="Picture 57" descr="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3210" cy="1954530"/>
                    </a:xfrm>
                    <a:prstGeom prst="rect">
                      <a:avLst/>
                    </a:prstGeom>
                    <a:noFill/>
                    <a:ln>
                      <a:noFill/>
                    </a:ln>
                  </pic:spPr>
                </pic:pic>
              </a:graphicData>
            </a:graphic>
          </wp:inline>
        </w:drawing>
      </w:r>
    </w:p>
    <w:p w:rsidR="006B75B0" w:rsidRDefault="006B75B0" w:rsidP="006B75B0">
      <w:pPr>
        <w:pStyle w:val="ListParagraph"/>
        <w:rPr>
          <w:rFonts w:ascii="Arial" w:hAnsi="Arial" w:cs="Arial"/>
          <w:i/>
          <w:color w:val="FF0000"/>
          <w:sz w:val="20"/>
          <w:szCs w:val="20"/>
        </w:rPr>
      </w:pPr>
      <w:r w:rsidRPr="006374B9">
        <w:rPr>
          <w:rFonts w:ascii="Arial" w:hAnsi="Arial" w:cs="Arial"/>
          <w:i/>
          <w:color w:val="FF0000"/>
          <w:sz w:val="20"/>
          <w:szCs w:val="20"/>
        </w:rPr>
        <w:t>Figure 304.3.2.1(b) T-shaped turning space-</w:t>
      </w:r>
      <w:r w:rsidR="00D2204F">
        <w:rPr>
          <w:rFonts w:ascii="Arial" w:hAnsi="Arial" w:cs="Arial"/>
          <w:i/>
          <w:color w:val="FF0000"/>
          <w:sz w:val="20"/>
          <w:szCs w:val="20"/>
        </w:rPr>
        <w:t xml:space="preserve"> new buildings</w:t>
      </w:r>
      <w:r w:rsidRPr="00D934AE">
        <w:rPr>
          <w:rFonts w:ascii="Arial" w:hAnsi="Arial" w:cs="Arial"/>
          <w:color w:val="FF0000"/>
          <w:sz w:val="20"/>
          <w:szCs w:val="20"/>
        </w:rPr>
        <w:t xml:space="preserve"> </w:t>
      </w:r>
      <w:r w:rsidRPr="006374B9">
        <w:rPr>
          <w:rFonts w:ascii="Arial" w:hAnsi="Arial" w:cs="Arial"/>
          <w:i/>
          <w:color w:val="FF0000"/>
          <w:sz w:val="20"/>
          <w:szCs w:val="20"/>
        </w:rPr>
        <w:t>- Option 2</w:t>
      </w:r>
    </w:p>
    <w:p w:rsidR="006B75B0" w:rsidRDefault="006B75B0" w:rsidP="006B75B0">
      <w:pPr>
        <w:pStyle w:val="ListParagraph"/>
        <w:rPr>
          <w:rFonts w:ascii="Arial" w:hAnsi="Arial" w:cs="Arial"/>
          <w:i/>
          <w:color w:val="FF0000"/>
          <w:sz w:val="20"/>
          <w:szCs w:val="20"/>
        </w:rPr>
      </w:pPr>
    </w:p>
    <w:p w:rsidR="006B75B0" w:rsidRPr="006374B9" w:rsidRDefault="006B75B0" w:rsidP="006B75B0">
      <w:pPr>
        <w:pStyle w:val="ListParagraph"/>
        <w:rPr>
          <w:rFonts w:ascii="Arial" w:hAnsi="Arial" w:cs="Arial"/>
          <w:i/>
          <w:color w:val="FF0000"/>
          <w:sz w:val="20"/>
          <w:szCs w:val="20"/>
        </w:rPr>
      </w:pPr>
      <w:r>
        <w:rPr>
          <w:rFonts w:ascii="Arial" w:hAnsi="Arial" w:cs="Arial"/>
          <w:i/>
          <w:noProof/>
          <w:color w:val="FF0000"/>
          <w:sz w:val="20"/>
          <w:szCs w:val="20"/>
        </w:rPr>
        <w:drawing>
          <wp:inline distT="0" distB="0" distL="0" distR="0">
            <wp:extent cx="2286000" cy="1954530"/>
            <wp:effectExtent l="0" t="0" r="0" b="7620"/>
            <wp:docPr id="56" name="Picture 56" descr="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954530"/>
                    </a:xfrm>
                    <a:prstGeom prst="rect">
                      <a:avLst/>
                    </a:prstGeom>
                    <a:noFill/>
                    <a:ln>
                      <a:noFill/>
                    </a:ln>
                  </pic:spPr>
                </pic:pic>
              </a:graphicData>
            </a:graphic>
          </wp:inline>
        </w:drawing>
      </w:r>
    </w:p>
    <w:p w:rsidR="006B75B0" w:rsidRDefault="006B75B0" w:rsidP="006B75B0">
      <w:pPr>
        <w:pStyle w:val="ListParagraph"/>
        <w:rPr>
          <w:rFonts w:ascii="Arial" w:hAnsi="Arial" w:cs="Arial"/>
          <w:i/>
          <w:color w:val="FF0000"/>
          <w:sz w:val="20"/>
          <w:szCs w:val="20"/>
        </w:rPr>
      </w:pPr>
      <w:r w:rsidRPr="006374B9">
        <w:rPr>
          <w:rFonts w:ascii="Arial" w:hAnsi="Arial" w:cs="Arial"/>
          <w:i/>
          <w:color w:val="FF0000"/>
          <w:sz w:val="20"/>
          <w:szCs w:val="20"/>
        </w:rPr>
        <w:t>Figure 304.3.2.1(c) T-shaped turning space</w:t>
      </w:r>
      <w:r w:rsidR="00D2204F">
        <w:rPr>
          <w:rFonts w:ascii="Arial" w:hAnsi="Arial" w:cs="Arial"/>
          <w:i/>
          <w:color w:val="FF0000"/>
          <w:sz w:val="20"/>
          <w:szCs w:val="20"/>
        </w:rPr>
        <w:t xml:space="preserve"> buildings</w:t>
      </w:r>
      <w:r w:rsidRPr="00D934AE">
        <w:rPr>
          <w:rFonts w:ascii="Arial" w:hAnsi="Arial" w:cs="Arial"/>
          <w:color w:val="FF0000"/>
          <w:sz w:val="20"/>
          <w:szCs w:val="20"/>
        </w:rPr>
        <w:t xml:space="preserve"> </w:t>
      </w:r>
      <w:r w:rsidRPr="006374B9">
        <w:rPr>
          <w:rFonts w:ascii="Arial" w:hAnsi="Arial" w:cs="Arial"/>
          <w:i/>
          <w:color w:val="FF0000"/>
          <w:sz w:val="20"/>
          <w:szCs w:val="20"/>
        </w:rPr>
        <w:t>- Option 3</w:t>
      </w:r>
    </w:p>
    <w:p w:rsidR="006B75B0" w:rsidRDefault="006B75B0" w:rsidP="006B75B0">
      <w:pPr>
        <w:pStyle w:val="ListParagraph"/>
        <w:rPr>
          <w:rFonts w:ascii="Arial" w:hAnsi="Arial" w:cs="Arial"/>
          <w:i/>
          <w:color w:val="FF0000"/>
          <w:sz w:val="20"/>
          <w:szCs w:val="20"/>
        </w:rPr>
      </w:pPr>
    </w:p>
    <w:p w:rsidR="006B75B0" w:rsidRPr="006374B9" w:rsidRDefault="006B75B0" w:rsidP="006B75B0">
      <w:pPr>
        <w:pStyle w:val="ListParagraph"/>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3456940" cy="193865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6940" cy="1938655"/>
                    </a:xfrm>
                    <a:prstGeom prst="rect">
                      <a:avLst/>
                    </a:prstGeom>
                    <a:noFill/>
                  </pic:spPr>
                </pic:pic>
              </a:graphicData>
            </a:graphic>
          </wp:inline>
        </w:drawing>
      </w:r>
    </w:p>
    <w:p w:rsidR="006B75B0" w:rsidRPr="006374B9" w:rsidRDefault="006B75B0" w:rsidP="006B75B0">
      <w:pPr>
        <w:pStyle w:val="ListParagraph"/>
        <w:rPr>
          <w:rFonts w:ascii="Arial" w:hAnsi="Arial" w:cs="Arial"/>
          <w:i/>
          <w:color w:val="FF0000"/>
          <w:sz w:val="20"/>
          <w:szCs w:val="20"/>
        </w:rPr>
      </w:pPr>
      <w:r w:rsidRPr="006374B9">
        <w:rPr>
          <w:rFonts w:ascii="Arial" w:hAnsi="Arial" w:cs="Arial"/>
          <w:i/>
          <w:color w:val="FF0000"/>
          <w:sz w:val="20"/>
          <w:szCs w:val="20"/>
        </w:rPr>
        <w:t>Figure 304.3.2.1(d) T-shaped turning space</w:t>
      </w:r>
      <w:r w:rsidR="00D2204F">
        <w:rPr>
          <w:rFonts w:ascii="Arial" w:hAnsi="Arial" w:cs="Arial"/>
          <w:i/>
          <w:color w:val="FF0000"/>
          <w:sz w:val="20"/>
          <w:szCs w:val="20"/>
        </w:rPr>
        <w:t xml:space="preserve"> – new buildings</w:t>
      </w:r>
      <w:r w:rsidRPr="00D934AE">
        <w:rPr>
          <w:rFonts w:ascii="Arial" w:hAnsi="Arial" w:cs="Arial"/>
          <w:color w:val="FF0000"/>
          <w:sz w:val="20"/>
          <w:szCs w:val="20"/>
        </w:rPr>
        <w:t xml:space="preserve"> </w:t>
      </w:r>
      <w:r w:rsidRPr="006374B9">
        <w:rPr>
          <w:rFonts w:ascii="Arial" w:hAnsi="Arial" w:cs="Arial"/>
          <w:i/>
          <w:color w:val="FF0000"/>
          <w:sz w:val="20"/>
          <w:szCs w:val="20"/>
        </w:rPr>
        <w:t>- Overlap</w:t>
      </w:r>
    </w:p>
    <w:p w:rsidR="006B75B0" w:rsidRPr="00A53E32" w:rsidRDefault="006B75B0" w:rsidP="006B75B0">
      <w:pPr>
        <w:pStyle w:val="ListParagraph"/>
        <w:rPr>
          <w:rFonts w:ascii="Arial" w:hAnsi="Arial" w:cs="Arial"/>
          <w:color w:val="00B050"/>
          <w:sz w:val="20"/>
          <w:szCs w:val="20"/>
        </w:rPr>
      </w:pPr>
    </w:p>
    <w:p w:rsidR="006B75B0" w:rsidRPr="00D2204F" w:rsidRDefault="006B75B0" w:rsidP="00D2204F">
      <w:pPr>
        <w:rPr>
          <w:rFonts w:ascii="Arial" w:hAnsi="Arial" w:cs="Arial"/>
          <w:color w:val="0070C0"/>
          <w:sz w:val="20"/>
          <w:szCs w:val="20"/>
        </w:rPr>
      </w:pPr>
      <w:r w:rsidRPr="00727E68">
        <w:rPr>
          <w:rFonts w:ascii="Arial" w:hAnsi="Arial" w:cs="Arial"/>
          <w:b/>
          <w:bCs/>
          <w:color w:val="0070C0"/>
          <w:sz w:val="20"/>
          <w:szCs w:val="20"/>
        </w:rPr>
        <w:t xml:space="preserve">304.3.2.2 </w:t>
      </w:r>
      <w:r w:rsidRPr="00D2204F">
        <w:rPr>
          <w:rFonts w:ascii="Arial" w:hAnsi="Arial" w:cs="Arial"/>
          <w:b/>
          <w:bCs/>
          <w:color w:val="0070C0"/>
          <w:sz w:val="20"/>
          <w:szCs w:val="20"/>
        </w:rPr>
        <w:t>Existing</w:t>
      </w:r>
      <w:r w:rsidR="00D2204F">
        <w:rPr>
          <w:rFonts w:ascii="Arial" w:hAnsi="Arial" w:cs="Arial"/>
          <w:b/>
          <w:bCs/>
          <w:color w:val="0070C0"/>
          <w:sz w:val="20"/>
          <w:szCs w:val="20"/>
        </w:rPr>
        <w:t xml:space="preserve"> buildings</w:t>
      </w:r>
      <w:r w:rsidRPr="00D2204F">
        <w:rPr>
          <w:rFonts w:ascii="Arial" w:hAnsi="Arial" w:cs="Arial"/>
          <w:b/>
          <w:bCs/>
          <w:color w:val="0070C0"/>
          <w:sz w:val="20"/>
          <w:szCs w:val="20"/>
        </w:rPr>
        <w:t>.</w:t>
      </w:r>
      <w:r w:rsidRPr="00D2204F">
        <w:rPr>
          <w:rFonts w:ascii="Arial" w:hAnsi="Arial" w:cs="Arial"/>
          <w:bCs/>
          <w:color w:val="0070C0"/>
          <w:sz w:val="20"/>
          <w:szCs w:val="20"/>
        </w:rPr>
        <w:t xml:space="preserve"> In existing</w:t>
      </w:r>
      <w:r w:rsidR="00D2204F">
        <w:rPr>
          <w:rFonts w:ascii="Arial" w:hAnsi="Arial" w:cs="Arial"/>
          <w:bCs/>
          <w:color w:val="0070C0"/>
          <w:sz w:val="20"/>
          <w:szCs w:val="20"/>
        </w:rPr>
        <w:t xml:space="preserve"> buildings</w:t>
      </w:r>
      <w:r w:rsidRPr="00D2204F">
        <w:rPr>
          <w:rFonts w:ascii="Arial" w:hAnsi="Arial" w:cs="Arial"/>
          <w:bCs/>
          <w:color w:val="0070C0"/>
          <w:sz w:val="20"/>
          <w:szCs w:val="20"/>
        </w:rPr>
        <w:t>,</w:t>
      </w:r>
      <w:r w:rsidRPr="00D2204F">
        <w:rPr>
          <w:rFonts w:ascii="Arial" w:hAnsi="Arial" w:cs="Arial"/>
          <w:b/>
          <w:bCs/>
          <w:color w:val="0070C0"/>
          <w:sz w:val="20"/>
          <w:szCs w:val="20"/>
        </w:rPr>
        <w:t xml:space="preserve"> </w:t>
      </w:r>
      <w:r w:rsidRPr="00D2204F">
        <w:rPr>
          <w:rFonts w:ascii="Arial" w:hAnsi="Arial" w:cs="Arial"/>
          <w:color w:val="0070C0"/>
          <w:sz w:val="20"/>
          <w:szCs w:val="20"/>
        </w:rPr>
        <w:t>the turning space shall be a T-shaped space within a 60-inch (1525 mm) minimum square, with arms and base 36 inches (915 mm) minimum in width. Each arm of the T shall be clear of obstructions 12 inches (305 mm) minimum in each direction, and the base shall be clear of obstructions 24 inches (610 mm) minimum.</w:t>
      </w:r>
      <w:r w:rsidRPr="00D2204F">
        <w:rPr>
          <w:rFonts w:ascii="Arial" w:hAnsi="Arial" w:cs="Arial"/>
          <w:sz w:val="20"/>
          <w:szCs w:val="20"/>
        </w:rPr>
        <w:t xml:space="preserve"> </w:t>
      </w:r>
      <w:r w:rsidRPr="00D2204F">
        <w:rPr>
          <w:rFonts w:ascii="Arial" w:hAnsi="Arial" w:cs="Arial"/>
          <w:color w:val="0070C0"/>
          <w:sz w:val="20"/>
          <w:szCs w:val="20"/>
        </w:rPr>
        <w:t>The turning space shall be permitted to include knee and toe clearance complying with Section 306 only at the end of either the base or one arm.  (3-6-12 PC2)</w:t>
      </w:r>
      <w:r w:rsidRPr="00D2204F">
        <w:rPr>
          <w:rFonts w:ascii="Arial" w:hAnsi="Arial" w:cs="Arial"/>
          <w:sz w:val="20"/>
          <w:szCs w:val="20"/>
        </w:rPr>
        <w:t xml:space="preserve"> </w:t>
      </w:r>
    </w:p>
    <w:p w:rsidR="006B75B0" w:rsidRPr="00D2204F" w:rsidRDefault="006B75B0" w:rsidP="006B75B0">
      <w:pPr>
        <w:rPr>
          <w:rFonts w:ascii="Arial" w:hAnsi="Arial" w:cs="Arial"/>
          <w:color w:val="00B050"/>
          <w:sz w:val="20"/>
          <w:szCs w:val="20"/>
        </w:rPr>
      </w:pPr>
    </w:p>
    <w:p w:rsidR="006B75B0" w:rsidRPr="00D2204F" w:rsidRDefault="006B75B0" w:rsidP="006B75B0">
      <w:pPr>
        <w:rPr>
          <w:rFonts w:ascii="Arial" w:hAnsi="Arial" w:cs="Arial"/>
          <w:i/>
          <w:color w:val="FF0000"/>
          <w:sz w:val="20"/>
          <w:szCs w:val="20"/>
        </w:rPr>
      </w:pPr>
      <w:r w:rsidRPr="00D2204F">
        <w:rPr>
          <w:rFonts w:ascii="Arial" w:hAnsi="Arial" w:cs="Arial"/>
          <w:i/>
          <w:noProof/>
          <w:color w:val="FF0000"/>
          <w:sz w:val="20"/>
          <w:szCs w:val="20"/>
        </w:rPr>
        <w:drawing>
          <wp:inline distT="0" distB="0" distL="0" distR="0" wp14:anchorId="0731F709" wp14:editId="22DEBB62">
            <wp:extent cx="2491740" cy="1943100"/>
            <wp:effectExtent l="0" t="0" r="3810" b="0"/>
            <wp:docPr id="55" name="Picture 55" descr="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1740" cy="1943100"/>
                    </a:xfrm>
                    <a:prstGeom prst="rect">
                      <a:avLst/>
                    </a:prstGeom>
                    <a:noFill/>
                    <a:ln>
                      <a:noFill/>
                    </a:ln>
                  </pic:spPr>
                </pic:pic>
              </a:graphicData>
            </a:graphic>
          </wp:inline>
        </w:drawing>
      </w:r>
    </w:p>
    <w:p w:rsidR="006B75B0" w:rsidRDefault="006B75B0" w:rsidP="006B75B0">
      <w:pPr>
        <w:rPr>
          <w:rFonts w:ascii="Arial" w:hAnsi="Arial" w:cs="Arial"/>
          <w:i/>
          <w:color w:val="FF0000"/>
          <w:sz w:val="20"/>
          <w:szCs w:val="20"/>
        </w:rPr>
      </w:pPr>
      <w:r w:rsidRPr="00D2204F">
        <w:rPr>
          <w:rFonts w:ascii="Arial" w:hAnsi="Arial" w:cs="Arial"/>
          <w:i/>
          <w:color w:val="FF0000"/>
          <w:sz w:val="20"/>
          <w:szCs w:val="20"/>
        </w:rPr>
        <w:t>Figure 304.3.2.2(a) T-shaped turning space – existing</w:t>
      </w:r>
      <w:r w:rsidR="00D2204F">
        <w:rPr>
          <w:rFonts w:ascii="Arial" w:hAnsi="Arial" w:cs="Arial"/>
          <w:i/>
          <w:color w:val="FF0000"/>
          <w:sz w:val="20"/>
          <w:szCs w:val="20"/>
        </w:rPr>
        <w:t xml:space="preserve"> buildings</w:t>
      </w:r>
      <w:r w:rsidRPr="00D2204F">
        <w:rPr>
          <w:rFonts w:ascii="Arial" w:hAnsi="Arial" w:cs="Arial"/>
          <w:color w:val="FF0000"/>
          <w:sz w:val="20"/>
          <w:szCs w:val="20"/>
        </w:rPr>
        <w:t xml:space="preserve"> </w:t>
      </w:r>
      <w:r w:rsidRPr="00D2204F">
        <w:rPr>
          <w:rFonts w:ascii="Arial" w:hAnsi="Arial" w:cs="Arial"/>
          <w:i/>
          <w:color w:val="FF0000"/>
          <w:sz w:val="20"/>
          <w:szCs w:val="20"/>
        </w:rPr>
        <w:t>– size</w:t>
      </w:r>
    </w:p>
    <w:p w:rsidR="006B75B0" w:rsidRDefault="006B75B0" w:rsidP="006B75B0">
      <w:pPr>
        <w:rPr>
          <w:rFonts w:ascii="Arial" w:hAnsi="Arial" w:cs="Arial"/>
          <w:i/>
          <w:color w:val="FF0000"/>
          <w:sz w:val="20"/>
          <w:szCs w:val="20"/>
        </w:rPr>
      </w:pPr>
    </w:p>
    <w:p w:rsidR="006B75B0" w:rsidRPr="006374B9" w:rsidRDefault="006B75B0" w:rsidP="006B75B0">
      <w:pPr>
        <w:rPr>
          <w:rFonts w:ascii="Arial" w:hAnsi="Arial" w:cs="Arial"/>
          <w:i/>
          <w:color w:val="FF0000"/>
          <w:sz w:val="20"/>
          <w:szCs w:val="20"/>
        </w:rPr>
      </w:pPr>
      <w:r>
        <w:rPr>
          <w:rFonts w:ascii="Arial" w:hAnsi="Arial" w:cs="Arial"/>
          <w:i/>
          <w:noProof/>
          <w:color w:val="FF0000"/>
          <w:sz w:val="20"/>
          <w:szCs w:val="20"/>
        </w:rPr>
        <w:drawing>
          <wp:inline distT="0" distB="0" distL="0" distR="0">
            <wp:extent cx="1828800" cy="1817370"/>
            <wp:effectExtent l="0" t="0" r="0" b="0"/>
            <wp:docPr id="54" name="Picture 54" descr="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817370"/>
                    </a:xfrm>
                    <a:prstGeom prst="rect">
                      <a:avLst/>
                    </a:prstGeom>
                    <a:noFill/>
                    <a:ln>
                      <a:noFill/>
                    </a:ln>
                  </pic:spPr>
                </pic:pic>
              </a:graphicData>
            </a:graphic>
          </wp:inline>
        </w:drawing>
      </w:r>
    </w:p>
    <w:p w:rsidR="006B75B0" w:rsidRPr="006374B9" w:rsidRDefault="006B75B0" w:rsidP="006B75B0">
      <w:pPr>
        <w:rPr>
          <w:rFonts w:ascii="Arial" w:hAnsi="Arial" w:cs="Arial"/>
          <w:i/>
          <w:color w:val="FF0000"/>
          <w:sz w:val="20"/>
          <w:szCs w:val="20"/>
        </w:rPr>
      </w:pPr>
      <w:r w:rsidRPr="006374B9">
        <w:rPr>
          <w:rFonts w:ascii="Arial" w:hAnsi="Arial" w:cs="Arial"/>
          <w:i/>
          <w:color w:val="FF0000"/>
          <w:sz w:val="20"/>
          <w:szCs w:val="20"/>
        </w:rPr>
        <w:t>Figure 304.3.2.2(</w:t>
      </w:r>
      <w:r>
        <w:rPr>
          <w:rFonts w:ascii="Arial" w:hAnsi="Arial" w:cs="Arial"/>
          <w:i/>
          <w:color w:val="FF0000"/>
          <w:sz w:val="20"/>
          <w:szCs w:val="20"/>
        </w:rPr>
        <w:t>b</w:t>
      </w:r>
      <w:r w:rsidRPr="006374B9">
        <w:rPr>
          <w:rFonts w:ascii="Arial" w:hAnsi="Arial" w:cs="Arial"/>
          <w:i/>
          <w:color w:val="FF0000"/>
          <w:sz w:val="20"/>
          <w:szCs w:val="20"/>
        </w:rPr>
        <w:t xml:space="preserve">) T-shaped turning space </w:t>
      </w:r>
      <w:r w:rsidR="00D2204F">
        <w:rPr>
          <w:rFonts w:ascii="Arial" w:hAnsi="Arial" w:cs="Arial"/>
          <w:i/>
          <w:color w:val="FF0000"/>
          <w:sz w:val="20"/>
          <w:szCs w:val="20"/>
        </w:rPr>
        <w:t xml:space="preserve"> existing buildings</w:t>
      </w:r>
      <w:r w:rsidRPr="00D934AE">
        <w:rPr>
          <w:rFonts w:ascii="Arial" w:hAnsi="Arial" w:cs="Arial"/>
          <w:color w:val="FF0000"/>
          <w:sz w:val="20"/>
          <w:szCs w:val="20"/>
        </w:rPr>
        <w:t xml:space="preserve"> </w:t>
      </w:r>
      <w:r w:rsidRPr="006374B9">
        <w:rPr>
          <w:rFonts w:ascii="Arial" w:hAnsi="Arial" w:cs="Arial"/>
          <w:i/>
          <w:color w:val="FF0000"/>
          <w:sz w:val="20"/>
          <w:szCs w:val="20"/>
        </w:rPr>
        <w:t xml:space="preserve">– </w:t>
      </w:r>
      <w:r>
        <w:rPr>
          <w:rFonts w:ascii="Arial" w:hAnsi="Arial" w:cs="Arial"/>
          <w:i/>
          <w:color w:val="FF0000"/>
          <w:sz w:val="20"/>
          <w:szCs w:val="20"/>
        </w:rPr>
        <w:t>overlap</w:t>
      </w:r>
    </w:p>
    <w:p w:rsidR="006B75B0" w:rsidRDefault="006B75B0" w:rsidP="006B75B0">
      <w:pPr>
        <w:contextualSpacing/>
        <w:rPr>
          <w:rFonts w:ascii="Arial" w:hAnsi="Arial" w:cs="Arial"/>
          <w:b/>
          <w:bCs/>
          <w:sz w:val="20"/>
          <w:szCs w:val="20"/>
        </w:rPr>
      </w:pPr>
    </w:p>
    <w:p w:rsidR="006B75B0" w:rsidRDefault="006B75B0" w:rsidP="006B75B0">
      <w:pPr>
        <w:contextualSpacing/>
        <w:rPr>
          <w:rFonts w:ascii="Arial" w:hAnsi="Arial" w:cs="Arial"/>
          <w:sz w:val="20"/>
          <w:szCs w:val="20"/>
        </w:rPr>
      </w:pPr>
      <w:r w:rsidRPr="00B476AA">
        <w:rPr>
          <w:rFonts w:ascii="Arial" w:hAnsi="Arial" w:cs="Arial"/>
          <w:b/>
          <w:bCs/>
          <w:sz w:val="20"/>
          <w:szCs w:val="20"/>
        </w:rPr>
        <w:t xml:space="preserve">304.4 Door Swing. </w:t>
      </w:r>
      <w:r w:rsidRPr="00B476AA">
        <w:rPr>
          <w:rFonts w:ascii="Arial" w:hAnsi="Arial" w:cs="Arial"/>
          <w:sz w:val="20"/>
          <w:szCs w:val="20"/>
        </w:rPr>
        <w:t>Unless otherwise specified, doors shall be permitted to swing into turning spaces.</w:t>
      </w:r>
    </w:p>
    <w:p w:rsidR="006B75B0" w:rsidRPr="00B476AA" w:rsidRDefault="006B75B0" w:rsidP="006B75B0">
      <w:pPr>
        <w:contextualSpacing/>
        <w:rPr>
          <w:rFonts w:ascii="Arial" w:hAnsi="Arial" w:cs="Arial"/>
          <w:sz w:val="20"/>
          <w:szCs w:val="20"/>
        </w:rPr>
      </w:pPr>
    </w:p>
    <w:p w:rsidR="006B75B0" w:rsidRDefault="006B75B0" w:rsidP="006B75B0">
      <w:pPr>
        <w:contextualSpacing/>
        <w:rPr>
          <w:rFonts w:ascii="Arial" w:hAnsi="Arial" w:cs="Arial"/>
          <w:b/>
          <w:bCs/>
          <w:sz w:val="20"/>
          <w:szCs w:val="20"/>
        </w:rPr>
      </w:pPr>
      <w:r w:rsidRPr="00B476AA">
        <w:rPr>
          <w:rFonts w:ascii="Arial" w:hAnsi="Arial" w:cs="Arial"/>
          <w:b/>
          <w:bCs/>
          <w:sz w:val="20"/>
          <w:szCs w:val="20"/>
        </w:rPr>
        <w:t>305 Clear Floor Space</w:t>
      </w:r>
    </w:p>
    <w:p w:rsidR="006B75B0" w:rsidRPr="00B476AA" w:rsidRDefault="006B75B0" w:rsidP="006B75B0">
      <w:pPr>
        <w:contextualSpacing/>
        <w:rPr>
          <w:rFonts w:ascii="Arial" w:hAnsi="Arial" w:cs="Arial"/>
          <w:b/>
          <w:bCs/>
          <w:sz w:val="20"/>
          <w:szCs w:val="20"/>
        </w:rPr>
      </w:pPr>
    </w:p>
    <w:p w:rsidR="006B75B0" w:rsidRPr="00B476AA" w:rsidRDefault="006B75B0" w:rsidP="006B75B0">
      <w:pPr>
        <w:contextualSpacing/>
        <w:rPr>
          <w:rFonts w:ascii="Arial" w:hAnsi="Arial" w:cs="Arial"/>
          <w:sz w:val="20"/>
          <w:szCs w:val="20"/>
        </w:rPr>
      </w:pPr>
      <w:r w:rsidRPr="00B476AA">
        <w:rPr>
          <w:rFonts w:ascii="Arial" w:hAnsi="Arial" w:cs="Arial"/>
          <w:b/>
          <w:bCs/>
          <w:sz w:val="20"/>
          <w:szCs w:val="20"/>
        </w:rPr>
        <w:lastRenderedPageBreak/>
        <w:t xml:space="preserve">305.1 General. </w:t>
      </w:r>
      <w:r w:rsidRPr="00B476AA">
        <w:rPr>
          <w:rFonts w:ascii="Arial" w:hAnsi="Arial" w:cs="Arial"/>
          <w:sz w:val="20"/>
          <w:szCs w:val="20"/>
        </w:rPr>
        <w:t>A clear floor space shall comply with Section 305.</w:t>
      </w:r>
    </w:p>
    <w:p w:rsidR="006B75B0" w:rsidRDefault="006B75B0" w:rsidP="006B75B0">
      <w:pPr>
        <w:contextualSpacing/>
        <w:rPr>
          <w:rFonts w:ascii="Arial" w:hAnsi="Arial" w:cs="Arial"/>
          <w:b/>
          <w:bCs/>
          <w:sz w:val="20"/>
          <w:szCs w:val="20"/>
        </w:rPr>
      </w:pPr>
    </w:p>
    <w:p w:rsidR="006B75B0" w:rsidRPr="00D2204F" w:rsidRDefault="006B75B0" w:rsidP="006B75B0">
      <w:pPr>
        <w:pStyle w:val="Default"/>
        <w:rPr>
          <w:color w:val="0070C0"/>
          <w:sz w:val="20"/>
          <w:szCs w:val="20"/>
        </w:rPr>
      </w:pPr>
      <w:r w:rsidRPr="00C63629">
        <w:rPr>
          <w:b/>
          <w:bCs/>
          <w:sz w:val="20"/>
          <w:szCs w:val="20"/>
        </w:rPr>
        <w:t xml:space="preserve">305.2 Floor Surfaces. </w:t>
      </w:r>
      <w:r w:rsidRPr="00C63629">
        <w:rPr>
          <w:color w:val="0070C0"/>
          <w:sz w:val="20"/>
          <w:szCs w:val="20"/>
        </w:rPr>
        <w:t xml:space="preserve">Floor surfaces of a clear floor space shall comply with Section 302. Changes in </w:t>
      </w:r>
      <w:r w:rsidRPr="00D2204F">
        <w:rPr>
          <w:color w:val="0070C0"/>
          <w:sz w:val="20"/>
          <w:szCs w:val="20"/>
        </w:rPr>
        <w:t xml:space="preserve">level </w:t>
      </w:r>
      <w:r w:rsidRPr="00D2204F">
        <w:rPr>
          <w:color w:val="FF0000"/>
          <w:sz w:val="20"/>
          <w:szCs w:val="20"/>
        </w:rPr>
        <w:t>shall</w:t>
      </w:r>
      <w:r w:rsidRPr="00D2204F">
        <w:rPr>
          <w:color w:val="00B050"/>
          <w:sz w:val="20"/>
          <w:szCs w:val="20"/>
        </w:rPr>
        <w:t xml:space="preserve"> </w:t>
      </w:r>
      <w:r w:rsidRPr="00D2204F">
        <w:rPr>
          <w:color w:val="4F81BD"/>
          <w:sz w:val="20"/>
          <w:szCs w:val="20"/>
        </w:rPr>
        <w:t>not</w:t>
      </w:r>
      <w:r w:rsidRPr="00D2204F">
        <w:rPr>
          <w:color w:val="00B050"/>
          <w:sz w:val="20"/>
          <w:szCs w:val="20"/>
        </w:rPr>
        <w:t xml:space="preserve"> </w:t>
      </w:r>
      <w:r w:rsidRPr="00D2204F">
        <w:rPr>
          <w:color w:val="FF0000"/>
          <w:sz w:val="20"/>
          <w:szCs w:val="20"/>
        </w:rPr>
        <w:t>be</w:t>
      </w:r>
      <w:r w:rsidRPr="00D2204F">
        <w:rPr>
          <w:color w:val="0070C0"/>
          <w:sz w:val="20"/>
          <w:szCs w:val="20"/>
        </w:rPr>
        <w:t xml:space="preserve"> permitted within the clear floor space. </w:t>
      </w:r>
      <w:r w:rsidR="00D2204F" w:rsidRPr="00D2204F">
        <w:rPr>
          <w:color w:val="FF0000"/>
          <w:sz w:val="20"/>
        </w:rPr>
        <w:t>(ed.)</w:t>
      </w:r>
    </w:p>
    <w:p w:rsidR="006B75B0" w:rsidRPr="00C63629" w:rsidRDefault="006B75B0" w:rsidP="006B75B0">
      <w:pPr>
        <w:pStyle w:val="Default"/>
        <w:ind w:left="720"/>
        <w:rPr>
          <w:b/>
          <w:bCs/>
          <w:strike/>
          <w:color w:val="0070C0"/>
          <w:sz w:val="20"/>
          <w:szCs w:val="20"/>
        </w:rPr>
      </w:pPr>
    </w:p>
    <w:p w:rsidR="006B75B0" w:rsidRPr="00D2204F" w:rsidRDefault="006B75B0" w:rsidP="00D2204F">
      <w:pPr>
        <w:pStyle w:val="Default"/>
        <w:ind w:left="720"/>
        <w:rPr>
          <w:color w:val="0070C0"/>
          <w:sz w:val="20"/>
          <w:szCs w:val="20"/>
        </w:rPr>
      </w:pPr>
      <w:r w:rsidRPr="00C63629">
        <w:rPr>
          <w:b/>
          <w:bCs/>
          <w:color w:val="0070C0"/>
          <w:sz w:val="20"/>
          <w:szCs w:val="20"/>
        </w:rPr>
        <w:t xml:space="preserve">EXCEPTION: </w:t>
      </w:r>
      <w:r w:rsidRPr="00C63629">
        <w:rPr>
          <w:color w:val="0070C0"/>
          <w:sz w:val="20"/>
          <w:szCs w:val="20"/>
        </w:rPr>
        <w:t>Slopes not steeper than 1:48 shall be permitted</w:t>
      </w:r>
      <w:r w:rsidRPr="00C63629">
        <w:rPr>
          <w:color w:val="0070C0"/>
          <w:sz w:val="20"/>
          <w:szCs w:val="20"/>
          <w:u w:val="single"/>
        </w:rPr>
        <w:t>.</w:t>
      </w:r>
      <w:r w:rsidRPr="00C63629">
        <w:rPr>
          <w:color w:val="0070C0"/>
          <w:sz w:val="20"/>
          <w:szCs w:val="20"/>
        </w:rPr>
        <w:t xml:space="preserve"> (3-5-12)</w:t>
      </w:r>
    </w:p>
    <w:p w:rsidR="006B75B0" w:rsidRPr="00B41280" w:rsidRDefault="006B75B0" w:rsidP="006B75B0">
      <w:pPr>
        <w:jc w:val="both"/>
        <w:rPr>
          <w:rFonts w:ascii="Arial" w:hAnsi="Arial" w:cs="Arial"/>
          <w:b/>
          <w:bCs/>
          <w:sz w:val="20"/>
          <w:szCs w:val="20"/>
        </w:rPr>
      </w:pPr>
    </w:p>
    <w:p w:rsidR="006B75B0" w:rsidRDefault="006B75B0" w:rsidP="006B75B0">
      <w:pPr>
        <w:rPr>
          <w:rFonts w:ascii="Arial" w:hAnsi="Arial" w:cs="Arial"/>
          <w:b/>
          <w:bCs/>
          <w:sz w:val="20"/>
          <w:szCs w:val="20"/>
        </w:rPr>
      </w:pPr>
      <w:r>
        <w:rPr>
          <w:rFonts w:ascii="Arial" w:hAnsi="Arial" w:cs="Arial"/>
          <w:b/>
          <w:bCs/>
          <w:sz w:val="20"/>
          <w:szCs w:val="20"/>
        </w:rPr>
        <w:t xml:space="preserve">305.3 Size. </w:t>
      </w:r>
    </w:p>
    <w:p w:rsidR="006B75B0" w:rsidRDefault="006B75B0" w:rsidP="006B75B0">
      <w:pPr>
        <w:rPr>
          <w:rFonts w:ascii="Arial" w:hAnsi="Arial" w:cs="Arial"/>
          <w:b/>
          <w:bCs/>
          <w:sz w:val="20"/>
          <w:szCs w:val="20"/>
        </w:rPr>
      </w:pPr>
    </w:p>
    <w:p w:rsidR="006B75B0" w:rsidRPr="00D2204F" w:rsidRDefault="006B75B0" w:rsidP="006B75B0">
      <w:pPr>
        <w:rPr>
          <w:rFonts w:ascii="Arial" w:hAnsi="Arial" w:cs="Arial"/>
          <w:color w:val="00B050"/>
          <w:sz w:val="20"/>
          <w:szCs w:val="20"/>
        </w:rPr>
      </w:pPr>
      <w:r w:rsidRPr="00727E68">
        <w:rPr>
          <w:rFonts w:ascii="Arial" w:hAnsi="Arial" w:cs="Arial"/>
          <w:b/>
          <w:bCs/>
          <w:color w:val="0070C0"/>
          <w:sz w:val="20"/>
          <w:szCs w:val="20"/>
        </w:rPr>
        <w:t xml:space="preserve">305.3.1 </w:t>
      </w:r>
      <w:r w:rsidRPr="00D2204F">
        <w:rPr>
          <w:rFonts w:ascii="Arial" w:hAnsi="Arial" w:cs="Arial"/>
          <w:b/>
          <w:bCs/>
          <w:color w:val="0070C0"/>
          <w:sz w:val="20"/>
          <w:szCs w:val="20"/>
        </w:rPr>
        <w:t>New</w:t>
      </w:r>
      <w:r w:rsidR="00D2204F">
        <w:rPr>
          <w:rFonts w:ascii="Arial" w:hAnsi="Arial" w:cs="Arial"/>
          <w:b/>
          <w:bCs/>
          <w:color w:val="0070C0"/>
          <w:sz w:val="20"/>
          <w:szCs w:val="20"/>
        </w:rPr>
        <w:t xml:space="preserve"> buildings</w:t>
      </w:r>
      <w:r w:rsidRPr="00D2204F">
        <w:rPr>
          <w:rFonts w:ascii="Arial" w:hAnsi="Arial" w:cs="Arial"/>
          <w:b/>
          <w:bCs/>
          <w:color w:val="0070C0"/>
          <w:sz w:val="20"/>
          <w:szCs w:val="20"/>
        </w:rPr>
        <w:t xml:space="preserve">.  </w:t>
      </w:r>
      <w:r w:rsidRPr="00D2204F">
        <w:rPr>
          <w:rFonts w:ascii="Arial" w:hAnsi="Arial" w:cs="Arial"/>
          <w:bCs/>
          <w:color w:val="0070C0"/>
          <w:sz w:val="20"/>
          <w:szCs w:val="20"/>
        </w:rPr>
        <w:t>In new</w:t>
      </w:r>
      <w:r w:rsidR="00D2204F">
        <w:rPr>
          <w:rFonts w:ascii="Arial" w:hAnsi="Arial" w:cs="Arial"/>
          <w:bCs/>
          <w:color w:val="0070C0"/>
          <w:sz w:val="20"/>
          <w:szCs w:val="20"/>
        </w:rPr>
        <w:t xml:space="preserve"> buildings,</w:t>
      </w:r>
      <w:r w:rsidRPr="00D2204F">
        <w:rPr>
          <w:rFonts w:ascii="Arial" w:hAnsi="Arial" w:cs="Arial"/>
          <w:b/>
          <w:bCs/>
          <w:sz w:val="20"/>
          <w:szCs w:val="20"/>
        </w:rPr>
        <w:t xml:space="preserve"> </w:t>
      </w:r>
      <w:r w:rsidRPr="00D2204F">
        <w:rPr>
          <w:rFonts w:ascii="Arial" w:hAnsi="Arial" w:cs="Arial"/>
          <w:bCs/>
          <w:sz w:val="20"/>
          <w:szCs w:val="20"/>
        </w:rPr>
        <w:t>t</w:t>
      </w:r>
      <w:r w:rsidRPr="00D2204F">
        <w:rPr>
          <w:rFonts w:ascii="Arial" w:hAnsi="Arial" w:cs="Arial"/>
          <w:sz w:val="20"/>
          <w:szCs w:val="20"/>
        </w:rPr>
        <w:t xml:space="preserve">he clear floor space shall be </w:t>
      </w:r>
      <w:r w:rsidRPr="00D2204F">
        <w:rPr>
          <w:rFonts w:ascii="Arial" w:hAnsi="Arial" w:cs="Arial"/>
          <w:color w:val="0070C0"/>
          <w:sz w:val="20"/>
          <w:szCs w:val="20"/>
        </w:rPr>
        <w:t>52 inches (1320 mm)</w:t>
      </w:r>
      <w:r w:rsidRPr="00D2204F">
        <w:rPr>
          <w:rFonts w:ascii="Arial" w:hAnsi="Arial" w:cs="Arial"/>
          <w:sz w:val="20"/>
          <w:szCs w:val="20"/>
        </w:rPr>
        <w:t xml:space="preserve"> minimum in length and 30 inches (760 mm) minimum in width. </w:t>
      </w:r>
      <w:r w:rsidRPr="00D2204F">
        <w:rPr>
          <w:rFonts w:ascii="Arial" w:hAnsi="Arial" w:cs="Arial"/>
          <w:color w:val="0070C0"/>
          <w:sz w:val="20"/>
          <w:szCs w:val="20"/>
        </w:rPr>
        <w:t xml:space="preserve"> (3-13-12)</w:t>
      </w:r>
      <w:r w:rsidRPr="00D2204F">
        <w:rPr>
          <w:rFonts w:ascii="Arial" w:hAnsi="Arial" w:cs="Arial"/>
          <w:sz w:val="20"/>
          <w:szCs w:val="20"/>
        </w:rPr>
        <w:t xml:space="preserve"> </w:t>
      </w:r>
    </w:p>
    <w:p w:rsidR="006B75B0" w:rsidRPr="00D2204F" w:rsidRDefault="006B75B0" w:rsidP="006B75B0">
      <w:pPr>
        <w:rPr>
          <w:rFonts w:ascii="Arial" w:hAnsi="Arial" w:cs="Arial"/>
          <w:color w:val="00B050"/>
          <w:sz w:val="20"/>
          <w:szCs w:val="20"/>
        </w:rPr>
      </w:pPr>
    </w:p>
    <w:p w:rsidR="006B75B0" w:rsidRPr="00D2204F" w:rsidRDefault="006B75B0" w:rsidP="006B75B0">
      <w:pPr>
        <w:rPr>
          <w:rFonts w:ascii="Arial" w:hAnsi="Arial" w:cs="Arial"/>
          <w:i/>
          <w:color w:val="FF0000"/>
          <w:sz w:val="22"/>
          <w:szCs w:val="22"/>
        </w:rPr>
      </w:pPr>
      <w:r w:rsidRPr="00D2204F">
        <w:rPr>
          <w:rFonts w:ascii="Arial" w:hAnsi="Arial" w:cs="Arial"/>
          <w:i/>
          <w:noProof/>
          <w:color w:val="FF0000"/>
          <w:sz w:val="22"/>
          <w:szCs w:val="22"/>
        </w:rPr>
        <w:drawing>
          <wp:inline distT="0" distB="0" distL="0" distR="0" wp14:anchorId="4D4AAAEC" wp14:editId="448C0ACF">
            <wp:extent cx="2183130" cy="1394460"/>
            <wp:effectExtent l="0" t="0" r="7620" b="0"/>
            <wp:docPr id="53" name="Picture 53" descr="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3130" cy="1394460"/>
                    </a:xfrm>
                    <a:prstGeom prst="rect">
                      <a:avLst/>
                    </a:prstGeom>
                    <a:noFill/>
                    <a:ln>
                      <a:noFill/>
                    </a:ln>
                  </pic:spPr>
                </pic:pic>
              </a:graphicData>
            </a:graphic>
          </wp:inline>
        </w:drawing>
      </w:r>
    </w:p>
    <w:p w:rsidR="006B75B0" w:rsidRPr="00D2204F" w:rsidRDefault="006B75B0" w:rsidP="006B75B0">
      <w:pPr>
        <w:rPr>
          <w:rFonts w:ascii="Arial" w:hAnsi="Arial" w:cs="Arial"/>
          <w:i/>
          <w:color w:val="FF0000"/>
          <w:sz w:val="22"/>
          <w:szCs w:val="22"/>
        </w:rPr>
      </w:pPr>
      <w:r w:rsidRPr="00D2204F">
        <w:rPr>
          <w:rFonts w:ascii="Arial" w:hAnsi="Arial" w:cs="Arial"/>
          <w:i/>
          <w:color w:val="FF0000"/>
          <w:sz w:val="22"/>
          <w:szCs w:val="22"/>
        </w:rPr>
        <w:t>Figure 305.3.1 - Size of clear floor space – new</w:t>
      </w:r>
      <w:r w:rsidR="00D2204F">
        <w:rPr>
          <w:rFonts w:ascii="Arial" w:hAnsi="Arial" w:cs="Arial"/>
          <w:i/>
          <w:color w:val="FF0000"/>
          <w:sz w:val="22"/>
          <w:szCs w:val="22"/>
        </w:rPr>
        <w:t xml:space="preserve"> buildings</w:t>
      </w:r>
    </w:p>
    <w:p w:rsidR="006B75B0" w:rsidRPr="00D2204F" w:rsidRDefault="006B75B0" w:rsidP="006B75B0">
      <w:pPr>
        <w:ind w:left="360"/>
        <w:rPr>
          <w:rFonts w:ascii="Arial" w:hAnsi="Arial" w:cs="Arial"/>
          <w:color w:val="FF0000"/>
          <w:sz w:val="20"/>
          <w:szCs w:val="20"/>
        </w:rPr>
      </w:pPr>
    </w:p>
    <w:p w:rsidR="006B75B0" w:rsidRPr="001F07DF" w:rsidRDefault="006B75B0" w:rsidP="006B75B0">
      <w:pPr>
        <w:rPr>
          <w:rFonts w:ascii="Arial" w:hAnsi="Arial" w:cs="Arial"/>
          <w:color w:val="0070C0"/>
          <w:sz w:val="20"/>
          <w:szCs w:val="20"/>
        </w:rPr>
      </w:pPr>
      <w:r w:rsidRPr="00D2204F">
        <w:rPr>
          <w:rFonts w:ascii="Arial" w:hAnsi="Arial" w:cs="Arial"/>
          <w:b/>
          <w:bCs/>
          <w:color w:val="0070C0"/>
          <w:sz w:val="20"/>
          <w:szCs w:val="20"/>
        </w:rPr>
        <w:t>**305.3.2 Existing</w:t>
      </w:r>
      <w:r w:rsidR="00D2204F">
        <w:rPr>
          <w:rFonts w:ascii="Arial" w:hAnsi="Arial" w:cs="Arial"/>
          <w:b/>
          <w:bCs/>
          <w:color w:val="0070C0"/>
          <w:sz w:val="20"/>
          <w:szCs w:val="20"/>
        </w:rPr>
        <w:t xml:space="preserve"> buildings</w:t>
      </w:r>
      <w:r w:rsidRPr="00D2204F">
        <w:rPr>
          <w:rFonts w:ascii="Arial" w:hAnsi="Arial" w:cs="Arial"/>
          <w:color w:val="FF0000"/>
          <w:sz w:val="20"/>
          <w:szCs w:val="20"/>
        </w:rPr>
        <w:t xml:space="preserve"> </w:t>
      </w:r>
      <w:r w:rsidRPr="00D2204F">
        <w:rPr>
          <w:rFonts w:ascii="Arial" w:hAnsi="Arial" w:cs="Arial"/>
          <w:b/>
          <w:bCs/>
          <w:strike/>
          <w:color w:val="FF0000"/>
          <w:sz w:val="20"/>
          <w:szCs w:val="20"/>
        </w:rPr>
        <w:t>and within new Type B units</w:t>
      </w:r>
      <w:r w:rsidRPr="00D2204F">
        <w:rPr>
          <w:rFonts w:ascii="Arial" w:hAnsi="Arial" w:cs="Arial"/>
          <w:b/>
          <w:bCs/>
          <w:color w:val="00B050"/>
          <w:sz w:val="20"/>
          <w:szCs w:val="20"/>
        </w:rPr>
        <w:t>.</w:t>
      </w:r>
      <w:r w:rsidRPr="00D2204F">
        <w:rPr>
          <w:rFonts w:ascii="Arial" w:hAnsi="Arial" w:cs="Arial"/>
          <w:bCs/>
          <w:color w:val="00B050"/>
          <w:sz w:val="20"/>
          <w:szCs w:val="20"/>
        </w:rPr>
        <w:t xml:space="preserve"> </w:t>
      </w:r>
      <w:r w:rsidRPr="00D2204F">
        <w:rPr>
          <w:rFonts w:ascii="Arial" w:hAnsi="Arial" w:cs="Arial"/>
          <w:bCs/>
          <w:color w:val="0070C0"/>
          <w:sz w:val="20"/>
          <w:szCs w:val="20"/>
        </w:rPr>
        <w:t>In existing</w:t>
      </w:r>
      <w:r w:rsidR="00D2204F">
        <w:rPr>
          <w:rFonts w:ascii="Arial" w:hAnsi="Arial" w:cs="Arial"/>
          <w:bCs/>
          <w:color w:val="0070C0"/>
          <w:sz w:val="20"/>
          <w:szCs w:val="20"/>
        </w:rPr>
        <w:t xml:space="preserve"> construction</w:t>
      </w:r>
      <w:r w:rsidRPr="00D2204F">
        <w:rPr>
          <w:rFonts w:ascii="Arial" w:hAnsi="Arial" w:cs="Arial"/>
          <w:bCs/>
          <w:color w:val="00B050"/>
          <w:sz w:val="20"/>
          <w:szCs w:val="20"/>
        </w:rPr>
        <w:t xml:space="preserve"> </w:t>
      </w:r>
      <w:r w:rsidRPr="00D2204F">
        <w:rPr>
          <w:rFonts w:ascii="Arial" w:hAnsi="Arial" w:cs="Arial"/>
          <w:bCs/>
          <w:strike/>
          <w:color w:val="FF0000"/>
          <w:sz w:val="20"/>
          <w:szCs w:val="20"/>
        </w:rPr>
        <w:t>and within new Type B units</w:t>
      </w:r>
      <w:r w:rsidRPr="00D2204F">
        <w:rPr>
          <w:rFonts w:ascii="Arial" w:hAnsi="Arial" w:cs="Arial"/>
          <w:bCs/>
          <w:color w:val="00B050"/>
          <w:sz w:val="20"/>
          <w:szCs w:val="20"/>
        </w:rPr>
        <w:t>,</w:t>
      </w:r>
      <w:r w:rsidRPr="00D2204F">
        <w:rPr>
          <w:rFonts w:ascii="Arial" w:hAnsi="Arial" w:cs="Arial"/>
          <w:b/>
          <w:bCs/>
          <w:color w:val="00B050"/>
          <w:sz w:val="20"/>
          <w:szCs w:val="20"/>
        </w:rPr>
        <w:t xml:space="preserve"> </w:t>
      </w:r>
      <w:r w:rsidRPr="00D2204F">
        <w:rPr>
          <w:rFonts w:ascii="Arial" w:hAnsi="Arial" w:cs="Arial"/>
          <w:bCs/>
          <w:color w:val="0070C0"/>
          <w:sz w:val="20"/>
          <w:szCs w:val="20"/>
        </w:rPr>
        <w:t>t</w:t>
      </w:r>
      <w:r w:rsidRPr="00D2204F">
        <w:rPr>
          <w:rFonts w:ascii="Arial" w:hAnsi="Arial" w:cs="Arial"/>
          <w:color w:val="0070C0"/>
          <w:sz w:val="20"/>
          <w:szCs w:val="20"/>
        </w:rPr>
        <w:t>he clear floor space shall be 48 inches (1220 mm) minimum in length and</w:t>
      </w:r>
      <w:r w:rsidRPr="001F07DF">
        <w:rPr>
          <w:rFonts w:ascii="Arial" w:hAnsi="Arial" w:cs="Arial"/>
          <w:color w:val="0070C0"/>
          <w:sz w:val="20"/>
          <w:szCs w:val="20"/>
        </w:rPr>
        <w:t xml:space="preserve"> 30 inches (760 mm) minimum in width.  </w:t>
      </w:r>
      <w:r w:rsidRPr="001F07DF">
        <w:rPr>
          <w:rFonts w:ascii="Arial" w:hAnsi="Arial" w:cs="Arial"/>
          <w:color w:val="0070C0"/>
          <w:sz w:val="20"/>
          <w:szCs w:val="20"/>
          <w:u w:val="single"/>
        </w:rPr>
        <w:t>(</w:t>
      </w:r>
      <w:r w:rsidRPr="001F07DF">
        <w:rPr>
          <w:rFonts w:ascii="Arial" w:hAnsi="Arial" w:cs="Arial"/>
          <w:color w:val="0070C0"/>
          <w:sz w:val="20"/>
          <w:szCs w:val="20"/>
        </w:rPr>
        <w:t>3-6-12 PC2)</w:t>
      </w:r>
      <w:r w:rsidRPr="00C63629">
        <w:rPr>
          <w:rFonts w:ascii="Arial" w:hAnsi="Arial" w:cs="Arial"/>
          <w:sz w:val="20"/>
          <w:szCs w:val="20"/>
        </w:rPr>
        <w:t xml:space="preserve"> </w:t>
      </w:r>
      <w:r w:rsidR="00D2204F">
        <w:rPr>
          <w:rFonts w:ascii="Arial" w:hAnsi="Arial" w:cs="Arial"/>
          <w:color w:val="FF0000"/>
          <w:sz w:val="20"/>
        </w:rPr>
        <w:t>(ed.)</w:t>
      </w:r>
    </w:p>
    <w:p w:rsidR="006B75B0" w:rsidRDefault="006B75B0" w:rsidP="006B75B0">
      <w:pPr>
        <w:rPr>
          <w:rFonts w:ascii="Arial" w:hAnsi="Arial" w:cs="Arial"/>
          <w:i/>
          <w:color w:val="FF0000"/>
          <w:sz w:val="20"/>
          <w:szCs w:val="20"/>
        </w:rPr>
      </w:pPr>
    </w:p>
    <w:p w:rsidR="006B75B0" w:rsidRDefault="006B75B0" w:rsidP="006B75B0">
      <w:pPr>
        <w:rPr>
          <w:rFonts w:ascii="Arial" w:hAnsi="Arial" w:cs="Arial"/>
          <w:i/>
          <w:color w:val="FF0000"/>
          <w:sz w:val="20"/>
          <w:szCs w:val="20"/>
        </w:rPr>
      </w:pPr>
      <w:r>
        <w:rPr>
          <w:rFonts w:ascii="Arial" w:hAnsi="Arial" w:cs="Arial"/>
          <w:i/>
          <w:noProof/>
          <w:color w:val="FF0000"/>
          <w:sz w:val="20"/>
          <w:szCs w:val="20"/>
        </w:rPr>
        <w:drawing>
          <wp:inline distT="0" distB="0" distL="0" distR="0">
            <wp:extent cx="2057400" cy="1497330"/>
            <wp:effectExtent l="0" t="0" r="0" b="7620"/>
            <wp:docPr id="52" name="Picture 52" descr="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1497330"/>
                    </a:xfrm>
                    <a:prstGeom prst="rect">
                      <a:avLst/>
                    </a:prstGeom>
                    <a:noFill/>
                    <a:ln>
                      <a:noFill/>
                    </a:ln>
                  </pic:spPr>
                </pic:pic>
              </a:graphicData>
            </a:graphic>
          </wp:inline>
        </w:drawing>
      </w:r>
    </w:p>
    <w:p w:rsidR="006B75B0" w:rsidRPr="00CE0549" w:rsidRDefault="006B75B0" w:rsidP="006B75B0">
      <w:pPr>
        <w:rPr>
          <w:rFonts w:ascii="Arial" w:hAnsi="Arial" w:cs="Arial"/>
          <w:i/>
          <w:color w:val="FF0000"/>
          <w:sz w:val="20"/>
          <w:szCs w:val="20"/>
        </w:rPr>
      </w:pPr>
      <w:r w:rsidRPr="00CE0549">
        <w:rPr>
          <w:rFonts w:ascii="Arial" w:hAnsi="Arial" w:cs="Arial"/>
          <w:i/>
          <w:color w:val="FF0000"/>
          <w:sz w:val="20"/>
          <w:szCs w:val="20"/>
        </w:rPr>
        <w:t>Figure 305.3.2 - Size of clear floor space –</w:t>
      </w:r>
      <w:r w:rsidR="00D2204F">
        <w:rPr>
          <w:rFonts w:ascii="Arial" w:hAnsi="Arial" w:cs="Arial"/>
          <w:i/>
          <w:color w:val="FF0000"/>
          <w:sz w:val="20"/>
          <w:szCs w:val="20"/>
        </w:rPr>
        <w:t xml:space="preserve"> existing buildings</w:t>
      </w:r>
    </w:p>
    <w:p w:rsidR="006B75B0" w:rsidRPr="000C41B4" w:rsidRDefault="006B75B0" w:rsidP="006B75B0">
      <w:pPr>
        <w:jc w:val="both"/>
        <w:rPr>
          <w:rFonts w:ascii="Arial" w:hAnsi="Arial" w:cs="Arial"/>
          <w:color w:val="00B050"/>
          <w:sz w:val="20"/>
          <w:szCs w:val="20"/>
        </w:rPr>
      </w:pPr>
    </w:p>
    <w:p w:rsidR="006B75B0" w:rsidRPr="00B476AA" w:rsidRDefault="006B75B0" w:rsidP="006B75B0">
      <w:pPr>
        <w:jc w:val="both"/>
        <w:rPr>
          <w:rFonts w:ascii="Arial" w:hAnsi="Arial" w:cs="Arial"/>
          <w:sz w:val="20"/>
          <w:szCs w:val="20"/>
        </w:rPr>
      </w:pPr>
      <w:r w:rsidRPr="00B476AA">
        <w:rPr>
          <w:rFonts w:ascii="Arial" w:hAnsi="Arial" w:cs="Arial"/>
          <w:b/>
          <w:bCs/>
          <w:sz w:val="20"/>
          <w:szCs w:val="20"/>
        </w:rPr>
        <w:t xml:space="preserve">305.4 Knee and Toe Clearance. </w:t>
      </w:r>
      <w:r w:rsidRPr="00B476AA">
        <w:rPr>
          <w:rFonts w:ascii="Arial" w:hAnsi="Arial" w:cs="Arial"/>
          <w:sz w:val="20"/>
          <w:szCs w:val="20"/>
        </w:rPr>
        <w:t>Unless otherwise specified, clear floor space shall be permitted to include knee and toe clearance complying with Section 306.</w:t>
      </w:r>
    </w:p>
    <w:p w:rsidR="006B75B0" w:rsidRDefault="006B75B0" w:rsidP="006B75B0">
      <w:pPr>
        <w:jc w:val="both"/>
        <w:rPr>
          <w:rFonts w:ascii="Arial" w:hAnsi="Arial" w:cs="Arial"/>
          <w:b/>
          <w:bCs/>
          <w:sz w:val="20"/>
          <w:szCs w:val="20"/>
        </w:rPr>
      </w:pPr>
    </w:p>
    <w:p w:rsidR="006B75B0" w:rsidRPr="00B476AA" w:rsidRDefault="006B75B0" w:rsidP="006B75B0">
      <w:pPr>
        <w:jc w:val="both"/>
        <w:rPr>
          <w:rFonts w:ascii="Arial" w:hAnsi="Arial" w:cs="Arial"/>
          <w:sz w:val="20"/>
          <w:szCs w:val="20"/>
        </w:rPr>
      </w:pPr>
      <w:r w:rsidRPr="00B476AA">
        <w:rPr>
          <w:rFonts w:ascii="Arial" w:hAnsi="Arial" w:cs="Arial"/>
          <w:b/>
          <w:bCs/>
          <w:sz w:val="20"/>
          <w:szCs w:val="20"/>
        </w:rPr>
        <w:t xml:space="preserve">305.5 Position. </w:t>
      </w:r>
      <w:r w:rsidRPr="00B476AA">
        <w:rPr>
          <w:rFonts w:ascii="Arial" w:hAnsi="Arial" w:cs="Arial"/>
          <w:sz w:val="20"/>
          <w:szCs w:val="20"/>
        </w:rPr>
        <w:t>Unless otherwise specified, the clear floor space sha</w:t>
      </w:r>
      <w:r>
        <w:rPr>
          <w:rFonts w:ascii="Arial" w:hAnsi="Arial" w:cs="Arial"/>
          <w:sz w:val="20"/>
          <w:szCs w:val="20"/>
        </w:rPr>
        <w:t>ll be positioned for either for</w:t>
      </w:r>
      <w:r w:rsidRPr="00B476AA">
        <w:rPr>
          <w:rFonts w:ascii="Arial" w:hAnsi="Arial" w:cs="Arial"/>
          <w:sz w:val="20"/>
          <w:szCs w:val="20"/>
        </w:rPr>
        <w:t>ward or parallel approach to an element.</w:t>
      </w:r>
    </w:p>
    <w:p w:rsidR="006B75B0" w:rsidRDefault="006B75B0" w:rsidP="006B75B0">
      <w:pPr>
        <w:jc w:val="both"/>
        <w:rPr>
          <w:rFonts w:ascii="Arial" w:hAnsi="Arial" w:cs="Arial"/>
          <w:b/>
          <w:bCs/>
          <w:sz w:val="20"/>
          <w:szCs w:val="20"/>
        </w:rPr>
      </w:pPr>
    </w:p>
    <w:p w:rsidR="006B75B0" w:rsidRDefault="006B75B0" w:rsidP="006B75B0">
      <w:pPr>
        <w:jc w:val="both"/>
        <w:rPr>
          <w:rFonts w:ascii="Arial" w:hAnsi="Arial" w:cs="Arial"/>
          <w:b/>
          <w:bCs/>
          <w:i/>
          <w:color w:val="FF0000"/>
          <w:sz w:val="20"/>
          <w:szCs w:val="20"/>
        </w:rPr>
      </w:pPr>
      <w:r>
        <w:rPr>
          <w:rFonts w:ascii="Arial" w:hAnsi="Arial" w:cs="Arial"/>
          <w:b/>
          <w:bCs/>
          <w:i/>
          <w:noProof/>
          <w:color w:val="FF0000"/>
          <w:sz w:val="20"/>
          <w:szCs w:val="20"/>
        </w:rPr>
        <w:lastRenderedPageBreak/>
        <w:drawing>
          <wp:inline distT="0" distB="0" distL="0" distR="0">
            <wp:extent cx="1440180" cy="1645920"/>
            <wp:effectExtent l="0" t="0" r="7620" b="0"/>
            <wp:docPr id="51" name="Picture 51" descr="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0180" cy="1645920"/>
                    </a:xfrm>
                    <a:prstGeom prst="rect">
                      <a:avLst/>
                    </a:prstGeom>
                    <a:noFill/>
                    <a:ln>
                      <a:noFill/>
                    </a:ln>
                  </pic:spPr>
                </pic:pic>
              </a:graphicData>
            </a:graphic>
          </wp:inline>
        </w:drawing>
      </w:r>
      <w:r>
        <w:rPr>
          <w:rFonts w:ascii="Arial" w:hAnsi="Arial" w:cs="Arial"/>
          <w:b/>
          <w:bCs/>
          <w:i/>
          <w:noProof/>
          <w:color w:val="FF0000"/>
          <w:sz w:val="20"/>
          <w:szCs w:val="20"/>
        </w:rPr>
        <w:drawing>
          <wp:inline distT="0" distB="0" distL="0" distR="0">
            <wp:extent cx="2091690" cy="1062990"/>
            <wp:effectExtent l="0" t="0" r="3810" b="3810"/>
            <wp:docPr id="50" name="Picture 50" descr="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1690" cy="1062990"/>
                    </a:xfrm>
                    <a:prstGeom prst="rect">
                      <a:avLst/>
                    </a:prstGeom>
                    <a:noFill/>
                    <a:ln>
                      <a:noFill/>
                    </a:ln>
                  </pic:spPr>
                </pic:pic>
              </a:graphicData>
            </a:graphic>
          </wp:inline>
        </w:drawing>
      </w:r>
    </w:p>
    <w:p w:rsidR="006B75B0" w:rsidRDefault="006B75B0" w:rsidP="006B75B0">
      <w:pPr>
        <w:jc w:val="both"/>
        <w:rPr>
          <w:rFonts w:ascii="Arial" w:hAnsi="Arial" w:cs="Arial"/>
          <w:i/>
          <w:color w:val="FF0000"/>
          <w:sz w:val="20"/>
          <w:szCs w:val="20"/>
        </w:rPr>
      </w:pPr>
      <w:r w:rsidRPr="00CE0549">
        <w:rPr>
          <w:rFonts w:ascii="Arial" w:hAnsi="Arial" w:cs="Arial"/>
          <w:b/>
          <w:bCs/>
          <w:i/>
          <w:color w:val="FF0000"/>
          <w:sz w:val="20"/>
          <w:szCs w:val="20"/>
        </w:rPr>
        <w:t xml:space="preserve">Figure 305.5 </w:t>
      </w:r>
      <w:r w:rsidRPr="00CE0549">
        <w:rPr>
          <w:rFonts w:ascii="Arial" w:hAnsi="Arial" w:cs="Arial"/>
          <w:i/>
          <w:color w:val="FF0000"/>
          <w:sz w:val="20"/>
          <w:szCs w:val="20"/>
        </w:rPr>
        <w:t>Position of clear floor space</w:t>
      </w:r>
    </w:p>
    <w:p w:rsidR="006B75B0" w:rsidRDefault="006B75B0" w:rsidP="006B75B0">
      <w:pPr>
        <w:jc w:val="both"/>
        <w:rPr>
          <w:rFonts w:ascii="Arial" w:hAnsi="Arial" w:cs="Arial"/>
          <w:i/>
          <w:color w:val="FF0000"/>
          <w:sz w:val="20"/>
          <w:szCs w:val="20"/>
        </w:rPr>
      </w:pPr>
      <w:r>
        <w:rPr>
          <w:rFonts w:ascii="Arial" w:hAnsi="Arial" w:cs="Arial"/>
          <w:i/>
          <w:color w:val="FF0000"/>
          <w:sz w:val="20"/>
          <w:szCs w:val="20"/>
        </w:rPr>
        <w:t>a) forward</w:t>
      </w:r>
    </w:p>
    <w:p w:rsidR="006B75B0" w:rsidRPr="00CE0549" w:rsidRDefault="006B75B0" w:rsidP="006B75B0">
      <w:pPr>
        <w:jc w:val="both"/>
        <w:rPr>
          <w:rFonts w:ascii="Arial" w:hAnsi="Arial" w:cs="Arial"/>
          <w:b/>
          <w:bCs/>
          <w:i/>
          <w:color w:val="FF0000"/>
          <w:sz w:val="20"/>
          <w:szCs w:val="20"/>
        </w:rPr>
      </w:pPr>
      <w:r>
        <w:rPr>
          <w:rFonts w:ascii="Arial" w:hAnsi="Arial" w:cs="Arial"/>
          <w:i/>
          <w:color w:val="FF0000"/>
          <w:sz w:val="20"/>
          <w:szCs w:val="20"/>
        </w:rPr>
        <w:t>b) parallel</w:t>
      </w:r>
    </w:p>
    <w:p w:rsidR="006B75B0" w:rsidRPr="00CE0549" w:rsidRDefault="006B75B0" w:rsidP="006B75B0">
      <w:pPr>
        <w:jc w:val="both"/>
        <w:rPr>
          <w:rFonts w:ascii="Arial" w:hAnsi="Arial" w:cs="Arial"/>
          <w:b/>
          <w:bCs/>
          <w:i/>
          <w:sz w:val="20"/>
          <w:szCs w:val="20"/>
        </w:rPr>
      </w:pPr>
    </w:p>
    <w:p w:rsidR="006B75B0" w:rsidRPr="00B476AA" w:rsidRDefault="006B75B0" w:rsidP="006B75B0">
      <w:pPr>
        <w:jc w:val="both"/>
        <w:rPr>
          <w:rFonts w:ascii="Arial" w:hAnsi="Arial" w:cs="Arial"/>
          <w:sz w:val="20"/>
          <w:szCs w:val="20"/>
        </w:rPr>
      </w:pPr>
      <w:r w:rsidRPr="00D2204F">
        <w:rPr>
          <w:rFonts w:ascii="Arial" w:hAnsi="Arial" w:cs="Arial"/>
          <w:b/>
          <w:bCs/>
          <w:sz w:val="20"/>
          <w:szCs w:val="20"/>
        </w:rPr>
        <w:t xml:space="preserve">305.6 Approach. </w:t>
      </w:r>
      <w:r w:rsidRPr="00D2204F">
        <w:rPr>
          <w:rFonts w:ascii="Arial" w:hAnsi="Arial" w:cs="Arial"/>
          <w:sz w:val="20"/>
          <w:szCs w:val="20"/>
        </w:rPr>
        <w:t>One full, unobstructed side of the clear floor space shall adjoin or overlap an accessible route or adjoin another clear floor space.</w:t>
      </w:r>
    </w:p>
    <w:p w:rsidR="006B75B0" w:rsidRDefault="006B75B0" w:rsidP="006B75B0">
      <w:pPr>
        <w:jc w:val="both"/>
        <w:rPr>
          <w:rFonts w:ascii="Arial" w:hAnsi="Arial" w:cs="Arial"/>
          <w:b/>
          <w:bCs/>
          <w:sz w:val="20"/>
          <w:szCs w:val="20"/>
        </w:rPr>
      </w:pPr>
    </w:p>
    <w:p w:rsidR="006B75B0" w:rsidRDefault="006B75B0" w:rsidP="006B75B0">
      <w:pPr>
        <w:jc w:val="both"/>
        <w:rPr>
          <w:rFonts w:ascii="Arial" w:hAnsi="Arial" w:cs="Arial"/>
          <w:sz w:val="20"/>
          <w:szCs w:val="20"/>
        </w:rPr>
      </w:pPr>
      <w:r w:rsidRPr="00B476AA">
        <w:rPr>
          <w:rFonts w:ascii="Arial" w:hAnsi="Arial" w:cs="Arial"/>
          <w:b/>
          <w:bCs/>
          <w:sz w:val="20"/>
          <w:szCs w:val="20"/>
        </w:rPr>
        <w:t xml:space="preserve">305.7 Alcoves. </w:t>
      </w:r>
      <w:r w:rsidRPr="00B476AA">
        <w:rPr>
          <w:rFonts w:ascii="Arial" w:hAnsi="Arial" w:cs="Arial"/>
          <w:sz w:val="20"/>
          <w:szCs w:val="20"/>
        </w:rPr>
        <w:t>If a clear floor space is in an alcove or otherwise confined on all or part of three sides, additional maneuvering clearances complying with Sections 305.7.1 and 305.7.2 shall be provided, as applicable.</w:t>
      </w:r>
    </w:p>
    <w:p w:rsidR="006B75B0" w:rsidRDefault="006B75B0" w:rsidP="006B75B0">
      <w:pPr>
        <w:jc w:val="both"/>
        <w:rPr>
          <w:rFonts w:ascii="Arial" w:hAnsi="Arial" w:cs="Arial"/>
          <w:sz w:val="20"/>
          <w:szCs w:val="20"/>
        </w:rPr>
      </w:pPr>
    </w:p>
    <w:p w:rsidR="006B75B0" w:rsidRDefault="006B75B0" w:rsidP="006B75B0">
      <w:pPr>
        <w:jc w:val="both"/>
        <w:rPr>
          <w:rFonts w:ascii="Arial" w:hAnsi="Arial" w:cs="Arial"/>
          <w:color w:val="FF0000"/>
          <w:sz w:val="20"/>
          <w:szCs w:val="20"/>
        </w:rPr>
      </w:pPr>
      <w:r>
        <w:rPr>
          <w:rFonts w:ascii="Arial" w:hAnsi="Arial" w:cs="Arial"/>
          <w:noProof/>
          <w:color w:val="FF0000"/>
          <w:sz w:val="20"/>
          <w:szCs w:val="20"/>
        </w:rPr>
        <w:drawing>
          <wp:inline distT="0" distB="0" distL="0" distR="0">
            <wp:extent cx="1828800" cy="1577340"/>
            <wp:effectExtent l="0" t="0" r="0" b="3810"/>
            <wp:docPr id="49" name="Picture 49" descr="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1577340"/>
                    </a:xfrm>
                    <a:prstGeom prst="rect">
                      <a:avLst/>
                    </a:prstGeom>
                    <a:noFill/>
                    <a:ln>
                      <a:noFill/>
                    </a:ln>
                  </pic:spPr>
                </pic:pic>
              </a:graphicData>
            </a:graphic>
          </wp:inline>
        </w:drawing>
      </w:r>
      <w:r>
        <w:rPr>
          <w:rFonts w:ascii="Arial" w:hAnsi="Arial" w:cs="Arial"/>
          <w:noProof/>
          <w:color w:val="FF0000"/>
          <w:sz w:val="20"/>
          <w:szCs w:val="20"/>
        </w:rPr>
        <w:drawing>
          <wp:inline distT="0" distB="0" distL="0" distR="0">
            <wp:extent cx="2240280" cy="1303020"/>
            <wp:effectExtent l="0" t="0" r="7620" b="0"/>
            <wp:docPr id="48" name="Picture 48" descr="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0280" cy="1303020"/>
                    </a:xfrm>
                    <a:prstGeom prst="rect">
                      <a:avLst/>
                    </a:prstGeom>
                    <a:noFill/>
                    <a:ln>
                      <a:noFill/>
                    </a:ln>
                  </pic:spPr>
                </pic:pic>
              </a:graphicData>
            </a:graphic>
          </wp:inline>
        </w:drawing>
      </w:r>
    </w:p>
    <w:p w:rsidR="006B75B0" w:rsidRDefault="006B75B0" w:rsidP="006B75B0">
      <w:pPr>
        <w:jc w:val="both"/>
        <w:rPr>
          <w:rFonts w:ascii="Arial" w:hAnsi="Arial" w:cs="Arial"/>
          <w:color w:val="FF0000"/>
          <w:sz w:val="20"/>
          <w:szCs w:val="20"/>
        </w:rPr>
      </w:pPr>
      <w:r w:rsidRPr="002B7EB8">
        <w:rPr>
          <w:rFonts w:ascii="Arial" w:hAnsi="Arial" w:cs="Arial"/>
          <w:color w:val="FF0000"/>
          <w:sz w:val="20"/>
          <w:szCs w:val="20"/>
        </w:rPr>
        <w:t>Figure 305.7</w:t>
      </w:r>
      <w:r>
        <w:rPr>
          <w:rFonts w:ascii="Arial" w:hAnsi="Arial" w:cs="Arial"/>
          <w:color w:val="FF0000"/>
          <w:sz w:val="20"/>
          <w:szCs w:val="20"/>
        </w:rPr>
        <w:t xml:space="preserve"> Maneuvering clearance in an alcove</w:t>
      </w:r>
    </w:p>
    <w:p w:rsidR="006B75B0" w:rsidRDefault="006B75B0" w:rsidP="006B75B0">
      <w:pPr>
        <w:jc w:val="both"/>
        <w:rPr>
          <w:rFonts w:ascii="Arial" w:hAnsi="Arial" w:cs="Arial"/>
          <w:color w:val="FF0000"/>
          <w:sz w:val="20"/>
          <w:szCs w:val="20"/>
        </w:rPr>
      </w:pPr>
      <w:r>
        <w:rPr>
          <w:rFonts w:ascii="Arial" w:hAnsi="Arial" w:cs="Arial"/>
          <w:color w:val="FF0000"/>
          <w:sz w:val="20"/>
          <w:szCs w:val="20"/>
        </w:rPr>
        <w:t>a) forward approach</w:t>
      </w:r>
    </w:p>
    <w:p w:rsidR="006B75B0" w:rsidRPr="002B7EB8" w:rsidRDefault="006B75B0" w:rsidP="006B75B0">
      <w:pPr>
        <w:jc w:val="both"/>
        <w:rPr>
          <w:rFonts w:ascii="Arial" w:hAnsi="Arial" w:cs="Arial"/>
          <w:color w:val="FF0000"/>
          <w:sz w:val="20"/>
          <w:szCs w:val="20"/>
        </w:rPr>
      </w:pPr>
      <w:r>
        <w:rPr>
          <w:rFonts w:ascii="Arial" w:hAnsi="Arial" w:cs="Arial"/>
          <w:color w:val="FF0000"/>
          <w:sz w:val="20"/>
          <w:szCs w:val="20"/>
        </w:rPr>
        <w:t>b) parallel approach</w:t>
      </w:r>
    </w:p>
    <w:p w:rsidR="006B75B0" w:rsidRPr="00B476AA" w:rsidRDefault="006B75B0" w:rsidP="006B75B0">
      <w:pPr>
        <w:jc w:val="both"/>
        <w:rPr>
          <w:rFonts w:ascii="Arial" w:hAnsi="Arial" w:cs="Arial"/>
          <w:sz w:val="20"/>
          <w:szCs w:val="20"/>
        </w:rPr>
      </w:pPr>
    </w:p>
    <w:p w:rsidR="006B75B0" w:rsidRPr="00B476AA" w:rsidRDefault="006B75B0" w:rsidP="006B75B0">
      <w:pPr>
        <w:contextualSpacing/>
        <w:jc w:val="both"/>
        <w:rPr>
          <w:rFonts w:ascii="Arial" w:hAnsi="Arial" w:cs="Arial"/>
          <w:sz w:val="20"/>
          <w:szCs w:val="20"/>
        </w:rPr>
      </w:pPr>
      <w:r w:rsidRPr="00B476AA">
        <w:rPr>
          <w:rFonts w:ascii="Arial" w:hAnsi="Arial" w:cs="Arial"/>
          <w:b/>
          <w:bCs/>
          <w:sz w:val="20"/>
          <w:szCs w:val="20"/>
        </w:rPr>
        <w:t xml:space="preserve">305.7.1 Parallel Approach. </w:t>
      </w:r>
      <w:r w:rsidRPr="00B476AA">
        <w:rPr>
          <w:rFonts w:ascii="Arial" w:hAnsi="Arial" w:cs="Arial"/>
          <w:sz w:val="20"/>
          <w:szCs w:val="20"/>
        </w:rPr>
        <w:t>Where the clear floor space is positioned for a parallel approach, the alcove sh</w:t>
      </w:r>
      <w:r>
        <w:rPr>
          <w:rFonts w:ascii="Arial" w:hAnsi="Arial" w:cs="Arial"/>
          <w:sz w:val="20"/>
          <w:szCs w:val="20"/>
        </w:rPr>
        <w:t>all be 60 inches (1525 mm) mini</w:t>
      </w:r>
      <w:r w:rsidRPr="00B476AA">
        <w:rPr>
          <w:rFonts w:ascii="Arial" w:hAnsi="Arial" w:cs="Arial"/>
          <w:sz w:val="20"/>
          <w:szCs w:val="20"/>
        </w:rPr>
        <w:t>mum in width where the depth exceeds 15 inches (380 mm).</w:t>
      </w:r>
    </w:p>
    <w:p w:rsidR="006B75B0" w:rsidRPr="00B476AA" w:rsidRDefault="006B75B0" w:rsidP="006B75B0">
      <w:pPr>
        <w:ind w:left="360"/>
        <w:contextualSpacing/>
        <w:jc w:val="both"/>
        <w:rPr>
          <w:rFonts w:ascii="Arial" w:hAnsi="Arial" w:cs="Arial"/>
          <w:b/>
          <w:bCs/>
          <w:sz w:val="20"/>
          <w:szCs w:val="20"/>
        </w:rPr>
      </w:pPr>
    </w:p>
    <w:p w:rsidR="006B75B0" w:rsidRPr="00D2204F" w:rsidRDefault="006B75B0" w:rsidP="00D2204F">
      <w:pPr>
        <w:autoSpaceDE w:val="0"/>
        <w:autoSpaceDN w:val="0"/>
        <w:adjustRightInd w:val="0"/>
        <w:rPr>
          <w:rFonts w:ascii="Arial" w:hAnsi="Arial" w:cs="Arial"/>
          <w:b/>
          <w:bCs/>
          <w:sz w:val="20"/>
          <w:szCs w:val="20"/>
        </w:rPr>
      </w:pPr>
      <w:r w:rsidRPr="00BC390D">
        <w:rPr>
          <w:rFonts w:ascii="Arial" w:hAnsi="Arial" w:cs="Arial"/>
          <w:b/>
          <w:bCs/>
          <w:sz w:val="20"/>
          <w:szCs w:val="20"/>
        </w:rPr>
        <w:t xml:space="preserve">305.7.2 Forward Approach. </w:t>
      </w:r>
      <w:r w:rsidR="00D2204F">
        <w:rPr>
          <w:rFonts w:ascii="Arial" w:hAnsi="Arial" w:cs="Arial"/>
          <w:b/>
          <w:bCs/>
          <w:sz w:val="20"/>
          <w:szCs w:val="20"/>
        </w:rPr>
        <w:t>W</w:t>
      </w:r>
      <w:r w:rsidRPr="00BC390D">
        <w:rPr>
          <w:rFonts w:ascii="Arial" w:hAnsi="Arial" w:cs="Arial"/>
          <w:sz w:val="20"/>
          <w:szCs w:val="20"/>
        </w:rPr>
        <w:t xml:space="preserve">here the clear floor space is positioned for a forward </w:t>
      </w:r>
      <w:r w:rsidRPr="001F07DF">
        <w:rPr>
          <w:rFonts w:ascii="Arial" w:hAnsi="Arial" w:cs="Arial"/>
          <w:color w:val="0070C0"/>
          <w:sz w:val="20"/>
          <w:szCs w:val="20"/>
        </w:rPr>
        <w:t>approach, the alcove shall be 36 inches (915 mm) minimum in width where the depth exceeds 24 inches (610 mm) (3-13-12 PC4.1)</w:t>
      </w:r>
      <w:r w:rsidR="00D2204F">
        <w:rPr>
          <w:rFonts w:ascii="Arial" w:hAnsi="Arial" w:cs="Arial"/>
          <w:color w:val="0070C0"/>
          <w:sz w:val="20"/>
          <w:szCs w:val="20"/>
        </w:rPr>
        <w:t xml:space="preserve"> </w:t>
      </w:r>
      <w:r w:rsidR="00D2204F">
        <w:rPr>
          <w:rFonts w:ascii="Arial" w:hAnsi="Arial" w:cs="Arial"/>
          <w:color w:val="FF0000"/>
          <w:sz w:val="20"/>
        </w:rPr>
        <w:t>(ed.)</w:t>
      </w:r>
    </w:p>
    <w:p w:rsidR="006B75B0" w:rsidRPr="004A705A" w:rsidRDefault="006B75B0" w:rsidP="006B75B0">
      <w:pPr>
        <w:ind w:left="360"/>
        <w:rPr>
          <w:rFonts w:ascii="Arial" w:hAnsi="Arial" w:cs="Arial"/>
          <w:sz w:val="20"/>
          <w:szCs w:val="20"/>
          <w:u w:val="single"/>
        </w:rPr>
      </w:pPr>
    </w:p>
    <w:p w:rsidR="006B75B0" w:rsidRPr="00973EF8" w:rsidRDefault="006B75B0" w:rsidP="006B75B0">
      <w:pPr>
        <w:rPr>
          <w:rFonts w:ascii="Arial" w:hAnsi="Arial" w:cs="Arial"/>
          <w:bCs/>
          <w:color w:val="00B050"/>
          <w:sz w:val="20"/>
          <w:szCs w:val="20"/>
        </w:rPr>
      </w:pPr>
      <w:r w:rsidRPr="00D2204F">
        <w:rPr>
          <w:rFonts w:ascii="Arial" w:hAnsi="Arial" w:cs="Arial"/>
          <w:b/>
          <w:bCs/>
          <w:strike/>
          <w:color w:val="00B050"/>
          <w:sz w:val="20"/>
          <w:szCs w:val="20"/>
        </w:rPr>
        <w:t>305.8 Seat Back Location.</w:t>
      </w:r>
      <w:r w:rsidRPr="00D2204F">
        <w:rPr>
          <w:rFonts w:ascii="Arial" w:hAnsi="Arial" w:cs="Arial"/>
          <w:bCs/>
          <w:strike/>
          <w:color w:val="00B050"/>
          <w:sz w:val="20"/>
          <w:szCs w:val="20"/>
        </w:rPr>
        <w:t xml:space="preserve">  For purposes of this standard, the seat back of a wheelchair within the clear floor space shall be considered 40 inches (1015 mm) from the front or 12 inches (305 mm) from the rear of the wheelchair space.</w:t>
      </w:r>
      <w:r w:rsidRPr="00D2204F">
        <w:rPr>
          <w:rFonts w:ascii="Arial" w:hAnsi="Arial" w:cs="Arial"/>
          <w:bCs/>
          <w:color w:val="00B050"/>
          <w:sz w:val="20"/>
          <w:szCs w:val="20"/>
        </w:rPr>
        <w:t xml:space="preserve"> </w:t>
      </w:r>
      <w:r w:rsidRPr="00DF0948">
        <w:rPr>
          <w:rFonts w:ascii="Arial" w:hAnsi="Arial" w:cs="Arial"/>
          <w:bCs/>
          <w:color w:val="0070C0"/>
          <w:sz w:val="20"/>
          <w:szCs w:val="20"/>
        </w:rPr>
        <w:t>(6-46-12 PC2.1)</w:t>
      </w:r>
      <w:r>
        <w:rPr>
          <w:rFonts w:ascii="Arial" w:hAnsi="Arial" w:cs="Arial"/>
          <w:bCs/>
          <w:color w:val="0070C0"/>
          <w:sz w:val="20"/>
          <w:szCs w:val="20"/>
        </w:rPr>
        <w:t xml:space="preserve"> </w:t>
      </w:r>
      <w:r w:rsidRPr="00973EF8">
        <w:rPr>
          <w:rFonts w:ascii="Arial" w:hAnsi="Arial" w:cs="Arial"/>
          <w:bCs/>
          <w:color w:val="00B050"/>
          <w:sz w:val="20"/>
          <w:szCs w:val="20"/>
        </w:rPr>
        <w:t>(6-46-12/2.1-PC2.1 Agenda #25.1)</w:t>
      </w:r>
    </w:p>
    <w:p w:rsidR="006B75B0" w:rsidRPr="00973EF8" w:rsidRDefault="006B75B0" w:rsidP="006B75B0">
      <w:pPr>
        <w:rPr>
          <w:rFonts w:ascii="Arial" w:hAnsi="Arial" w:cs="Arial"/>
          <w:bCs/>
          <w:i/>
          <w:color w:val="00B050"/>
          <w:sz w:val="20"/>
          <w:szCs w:val="20"/>
        </w:rPr>
      </w:pPr>
    </w:p>
    <w:p w:rsidR="006B75B0" w:rsidRDefault="006B75B0" w:rsidP="006B75B0">
      <w:pPr>
        <w:rPr>
          <w:rFonts w:ascii="Arial" w:hAnsi="Arial" w:cs="Arial"/>
          <w:bCs/>
          <w:sz w:val="20"/>
          <w:szCs w:val="20"/>
        </w:rPr>
      </w:pPr>
    </w:p>
    <w:p w:rsidR="006B75B0" w:rsidRPr="00B476AA" w:rsidRDefault="006B75B0" w:rsidP="006B75B0">
      <w:pPr>
        <w:rPr>
          <w:rFonts w:ascii="Arial" w:hAnsi="Arial" w:cs="Arial"/>
          <w:b/>
          <w:bCs/>
          <w:sz w:val="20"/>
          <w:szCs w:val="20"/>
        </w:rPr>
      </w:pPr>
      <w:r w:rsidRPr="00B476AA">
        <w:rPr>
          <w:rFonts w:ascii="Arial" w:hAnsi="Arial" w:cs="Arial"/>
          <w:b/>
          <w:bCs/>
          <w:sz w:val="20"/>
          <w:szCs w:val="20"/>
        </w:rPr>
        <w:t>306 Knee and Toe Clearance</w:t>
      </w:r>
    </w:p>
    <w:p w:rsidR="006B75B0" w:rsidRDefault="006B75B0" w:rsidP="006B75B0">
      <w:pPr>
        <w:rPr>
          <w:rFonts w:ascii="Arial" w:hAnsi="Arial" w:cs="Arial"/>
          <w:b/>
          <w:bCs/>
          <w:sz w:val="20"/>
          <w:szCs w:val="20"/>
        </w:rPr>
      </w:pPr>
    </w:p>
    <w:p w:rsidR="006B75B0" w:rsidRPr="00B476AA" w:rsidRDefault="006B75B0" w:rsidP="006B75B0">
      <w:pPr>
        <w:rPr>
          <w:rFonts w:ascii="Arial" w:hAnsi="Arial" w:cs="Arial"/>
          <w:sz w:val="20"/>
          <w:szCs w:val="20"/>
        </w:rPr>
      </w:pPr>
      <w:r w:rsidRPr="00B476AA">
        <w:rPr>
          <w:rFonts w:ascii="Arial" w:hAnsi="Arial" w:cs="Arial"/>
          <w:b/>
          <w:bCs/>
          <w:sz w:val="20"/>
          <w:szCs w:val="20"/>
        </w:rPr>
        <w:t xml:space="preserve">306.1 General. </w:t>
      </w:r>
      <w:r w:rsidRPr="00B476AA">
        <w:rPr>
          <w:rFonts w:ascii="Arial" w:hAnsi="Arial" w:cs="Arial"/>
          <w:sz w:val="20"/>
          <w:szCs w:val="20"/>
        </w:rPr>
        <w:t xml:space="preserve">Where space beneath an element is included as part of clear floor space at an element, clearance at an element, or a turning space, the space shall comply with Section 306. Additional space </w:t>
      </w:r>
      <w:r w:rsidRPr="00B476AA">
        <w:rPr>
          <w:rFonts w:ascii="Arial" w:hAnsi="Arial" w:cs="Arial"/>
          <w:sz w:val="20"/>
        </w:rPr>
        <w:t xml:space="preserve">shall not be prohibited beneath an element, but shall not be considered as part of the clear floor space or turning space.  </w:t>
      </w:r>
    </w:p>
    <w:p w:rsidR="006B75B0" w:rsidRDefault="006B75B0" w:rsidP="006B75B0">
      <w:pPr>
        <w:rPr>
          <w:rFonts w:ascii="Arial" w:hAnsi="Arial" w:cs="Arial"/>
          <w:b/>
          <w:bCs/>
          <w:sz w:val="20"/>
          <w:szCs w:val="20"/>
        </w:rPr>
      </w:pPr>
    </w:p>
    <w:p w:rsidR="006B75B0" w:rsidRPr="00B476AA" w:rsidRDefault="006B75B0" w:rsidP="006B75B0">
      <w:pPr>
        <w:rPr>
          <w:rFonts w:ascii="Arial" w:hAnsi="Arial" w:cs="Arial"/>
          <w:b/>
          <w:bCs/>
          <w:sz w:val="20"/>
          <w:szCs w:val="20"/>
        </w:rPr>
      </w:pPr>
      <w:r w:rsidRPr="00B476AA">
        <w:rPr>
          <w:rFonts w:ascii="Arial" w:hAnsi="Arial" w:cs="Arial"/>
          <w:b/>
          <w:bCs/>
          <w:sz w:val="20"/>
          <w:szCs w:val="20"/>
        </w:rPr>
        <w:lastRenderedPageBreak/>
        <w:t>306.2 Toe Clearance.</w:t>
      </w:r>
    </w:p>
    <w:p w:rsidR="006B75B0" w:rsidRDefault="006B75B0" w:rsidP="006B75B0">
      <w:pPr>
        <w:ind w:left="360"/>
        <w:contextualSpacing/>
        <w:rPr>
          <w:rFonts w:ascii="Arial" w:hAnsi="Arial" w:cs="Arial"/>
          <w:b/>
          <w:bCs/>
          <w:sz w:val="20"/>
          <w:szCs w:val="20"/>
        </w:rPr>
      </w:pPr>
    </w:p>
    <w:p w:rsidR="006B75B0" w:rsidRDefault="006B75B0" w:rsidP="006B75B0">
      <w:pPr>
        <w:ind w:left="360"/>
        <w:contextualSpacing/>
        <w:rPr>
          <w:rFonts w:ascii="Arial" w:hAnsi="Arial" w:cs="Arial"/>
          <w:bCs/>
          <w:i/>
          <w:color w:val="FF0000"/>
          <w:sz w:val="20"/>
          <w:szCs w:val="20"/>
        </w:rPr>
      </w:pPr>
      <w:r>
        <w:rPr>
          <w:rFonts w:ascii="Arial" w:hAnsi="Arial" w:cs="Arial"/>
          <w:bCs/>
          <w:i/>
          <w:noProof/>
          <w:color w:val="FF0000"/>
          <w:sz w:val="20"/>
          <w:szCs w:val="20"/>
        </w:rPr>
        <w:drawing>
          <wp:inline distT="0" distB="0" distL="0" distR="0">
            <wp:extent cx="1931670" cy="2606040"/>
            <wp:effectExtent l="0" t="0" r="0" b="3810"/>
            <wp:docPr id="47" name="Picture 47"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1670" cy="2606040"/>
                    </a:xfrm>
                    <a:prstGeom prst="rect">
                      <a:avLst/>
                    </a:prstGeom>
                    <a:noFill/>
                    <a:ln>
                      <a:noFill/>
                    </a:ln>
                  </pic:spPr>
                </pic:pic>
              </a:graphicData>
            </a:graphic>
          </wp:inline>
        </w:drawing>
      </w:r>
      <w:r>
        <w:rPr>
          <w:rFonts w:ascii="Arial" w:hAnsi="Arial" w:cs="Arial"/>
          <w:bCs/>
          <w:i/>
          <w:noProof/>
          <w:color w:val="FF0000"/>
          <w:sz w:val="20"/>
          <w:szCs w:val="20"/>
        </w:rPr>
        <w:drawing>
          <wp:inline distT="0" distB="0" distL="0" distR="0">
            <wp:extent cx="2171700" cy="2297430"/>
            <wp:effectExtent l="0" t="0" r="0" b="7620"/>
            <wp:docPr id="46" name="Picture 46"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2297430"/>
                    </a:xfrm>
                    <a:prstGeom prst="rect">
                      <a:avLst/>
                    </a:prstGeom>
                    <a:noFill/>
                    <a:ln>
                      <a:noFill/>
                    </a:ln>
                  </pic:spPr>
                </pic:pic>
              </a:graphicData>
            </a:graphic>
          </wp:inline>
        </w:drawing>
      </w:r>
    </w:p>
    <w:p w:rsidR="006B75B0" w:rsidRDefault="006B75B0" w:rsidP="006B75B0">
      <w:pPr>
        <w:ind w:left="360"/>
        <w:contextualSpacing/>
        <w:rPr>
          <w:rFonts w:ascii="Arial" w:hAnsi="Arial" w:cs="Arial"/>
          <w:bCs/>
          <w:i/>
          <w:color w:val="FF0000"/>
          <w:sz w:val="20"/>
          <w:szCs w:val="20"/>
        </w:rPr>
      </w:pPr>
      <w:r w:rsidRPr="00092187">
        <w:rPr>
          <w:rFonts w:ascii="Arial" w:hAnsi="Arial" w:cs="Arial"/>
          <w:bCs/>
          <w:i/>
          <w:color w:val="FF0000"/>
          <w:sz w:val="20"/>
          <w:szCs w:val="20"/>
        </w:rPr>
        <w:t>Figure 306.2 – Toe clearance</w:t>
      </w:r>
    </w:p>
    <w:p w:rsidR="006B75B0" w:rsidRDefault="006B75B0" w:rsidP="006B75B0">
      <w:pPr>
        <w:ind w:left="360"/>
        <w:contextualSpacing/>
        <w:rPr>
          <w:rFonts w:ascii="Arial" w:hAnsi="Arial" w:cs="Arial"/>
          <w:bCs/>
          <w:i/>
          <w:color w:val="FF0000"/>
          <w:sz w:val="20"/>
          <w:szCs w:val="20"/>
        </w:rPr>
      </w:pPr>
      <w:r>
        <w:rPr>
          <w:rFonts w:ascii="Arial" w:hAnsi="Arial" w:cs="Arial"/>
          <w:bCs/>
          <w:i/>
          <w:color w:val="FF0000"/>
          <w:sz w:val="20"/>
          <w:szCs w:val="20"/>
        </w:rPr>
        <w:t>a) elevation</w:t>
      </w:r>
    </w:p>
    <w:p w:rsidR="006B75B0" w:rsidRPr="00092187" w:rsidRDefault="006B75B0" w:rsidP="006B75B0">
      <w:pPr>
        <w:ind w:left="360"/>
        <w:contextualSpacing/>
        <w:rPr>
          <w:rFonts w:ascii="Arial" w:hAnsi="Arial" w:cs="Arial"/>
          <w:bCs/>
          <w:i/>
          <w:color w:val="FF0000"/>
          <w:sz w:val="20"/>
          <w:szCs w:val="20"/>
        </w:rPr>
      </w:pPr>
      <w:r>
        <w:rPr>
          <w:rFonts w:ascii="Arial" w:hAnsi="Arial" w:cs="Arial"/>
          <w:bCs/>
          <w:i/>
          <w:color w:val="FF0000"/>
          <w:sz w:val="20"/>
          <w:szCs w:val="20"/>
        </w:rPr>
        <w:t>b) plan</w:t>
      </w:r>
    </w:p>
    <w:p w:rsidR="006B75B0" w:rsidRPr="00B476AA" w:rsidRDefault="006B75B0" w:rsidP="006B75B0">
      <w:pPr>
        <w:ind w:left="360"/>
        <w:contextualSpacing/>
        <w:rPr>
          <w:rFonts w:ascii="Arial" w:hAnsi="Arial" w:cs="Arial"/>
          <w:b/>
          <w:bCs/>
          <w:sz w:val="20"/>
          <w:szCs w:val="20"/>
        </w:rPr>
      </w:pPr>
    </w:p>
    <w:p w:rsidR="006B75B0" w:rsidRPr="00B476AA" w:rsidRDefault="006B75B0" w:rsidP="006B75B0">
      <w:pPr>
        <w:contextualSpacing/>
        <w:rPr>
          <w:rFonts w:ascii="Arial" w:hAnsi="Arial" w:cs="Arial"/>
          <w:sz w:val="20"/>
          <w:szCs w:val="20"/>
        </w:rPr>
      </w:pPr>
      <w:r w:rsidRPr="00B476AA">
        <w:rPr>
          <w:rFonts w:ascii="Arial" w:hAnsi="Arial" w:cs="Arial"/>
          <w:b/>
          <w:bCs/>
          <w:sz w:val="20"/>
          <w:szCs w:val="20"/>
        </w:rPr>
        <w:t xml:space="preserve">306.2.1 General. </w:t>
      </w:r>
      <w:r w:rsidRPr="00B476AA">
        <w:rPr>
          <w:rFonts w:ascii="Arial" w:hAnsi="Arial" w:cs="Arial"/>
          <w:sz w:val="20"/>
          <w:szCs w:val="20"/>
        </w:rPr>
        <w:t>Space beneath an element between the floor and 9 inches (230 mm) above the floor shall be considered toe clearance and shall comply with Section 306.2.</w:t>
      </w:r>
    </w:p>
    <w:p w:rsidR="006B75B0" w:rsidRPr="00B476AA" w:rsidRDefault="006B75B0" w:rsidP="006B75B0">
      <w:pPr>
        <w:ind w:left="360"/>
        <w:contextualSpacing/>
        <w:rPr>
          <w:rFonts w:ascii="Arial" w:hAnsi="Arial" w:cs="Arial"/>
          <w:sz w:val="20"/>
          <w:szCs w:val="20"/>
        </w:rPr>
      </w:pPr>
    </w:p>
    <w:p w:rsidR="006B75B0" w:rsidRPr="00B476AA" w:rsidRDefault="006B75B0" w:rsidP="006B75B0">
      <w:pPr>
        <w:contextualSpacing/>
        <w:rPr>
          <w:rFonts w:ascii="Arial" w:hAnsi="Arial" w:cs="Arial"/>
          <w:sz w:val="20"/>
          <w:szCs w:val="20"/>
        </w:rPr>
      </w:pPr>
      <w:r w:rsidRPr="00B476AA">
        <w:rPr>
          <w:rFonts w:ascii="Arial" w:hAnsi="Arial" w:cs="Arial"/>
          <w:b/>
          <w:bCs/>
          <w:sz w:val="20"/>
          <w:szCs w:val="20"/>
        </w:rPr>
        <w:t xml:space="preserve">306.2.2 Maximum Depth. </w:t>
      </w:r>
      <w:r w:rsidRPr="00B476AA">
        <w:rPr>
          <w:rFonts w:ascii="Arial" w:hAnsi="Arial" w:cs="Arial"/>
          <w:sz w:val="20"/>
          <w:szCs w:val="20"/>
        </w:rPr>
        <w:t>Toe clearance shall be permitted to extend 25 inches (635 mm) maximum under an element.</w:t>
      </w:r>
    </w:p>
    <w:p w:rsidR="006B75B0" w:rsidRPr="00B476AA" w:rsidRDefault="006B75B0" w:rsidP="006B75B0">
      <w:pPr>
        <w:ind w:left="360"/>
        <w:contextualSpacing/>
        <w:rPr>
          <w:rFonts w:ascii="Arial" w:hAnsi="Arial" w:cs="Arial"/>
          <w:b/>
          <w:bCs/>
          <w:sz w:val="20"/>
          <w:szCs w:val="20"/>
        </w:rPr>
      </w:pPr>
    </w:p>
    <w:p w:rsidR="006B75B0" w:rsidRPr="00B476AA" w:rsidRDefault="006B75B0" w:rsidP="006B75B0">
      <w:pPr>
        <w:contextualSpacing/>
        <w:rPr>
          <w:rFonts w:ascii="Arial" w:hAnsi="Arial" w:cs="Arial"/>
          <w:sz w:val="20"/>
          <w:szCs w:val="20"/>
        </w:rPr>
      </w:pPr>
      <w:r w:rsidRPr="00B476AA">
        <w:rPr>
          <w:rFonts w:ascii="Arial" w:hAnsi="Arial" w:cs="Arial"/>
          <w:b/>
          <w:bCs/>
          <w:sz w:val="20"/>
          <w:szCs w:val="20"/>
        </w:rPr>
        <w:t xml:space="preserve">306.2.3 Minimum Depth. </w:t>
      </w:r>
      <w:r w:rsidRPr="00B476AA">
        <w:rPr>
          <w:rFonts w:ascii="Arial" w:hAnsi="Arial" w:cs="Arial"/>
          <w:sz w:val="20"/>
          <w:szCs w:val="20"/>
        </w:rPr>
        <w:t>Where toe clearance is required at an element as part of a clear floor space</w:t>
      </w:r>
      <w:r w:rsidRPr="00EB1965">
        <w:rPr>
          <w:rFonts w:ascii="Arial" w:hAnsi="Arial" w:cs="Arial"/>
          <w:sz w:val="20"/>
          <w:szCs w:val="20"/>
        </w:rPr>
        <w:t xml:space="preserve"> </w:t>
      </w:r>
      <w:r w:rsidRPr="00CF4AB0">
        <w:rPr>
          <w:rFonts w:ascii="Arial" w:hAnsi="Arial" w:cs="Arial"/>
          <w:sz w:val="20"/>
          <w:szCs w:val="20"/>
        </w:rPr>
        <w:t>complying with Section 305</w:t>
      </w:r>
      <w:r w:rsidRPr="00B476AA">
        <w:rPr>
          <w:rFonts w:ascii="Arial" w:hAnsi="Arial" w:cs="Arial"/>
          <w:sz w:val="20"/>
          <w:szCs w:val="20"/>
        </w:rPr>
        <w:t>, the toe clearance shall extend 17 inches (430 mm) minimum beneath the element.</w:t>
      </w:r>
    </w:p>
    <w:p w:rsidR="006B75B0" w:rsidRPr="00B476AA" w:rsidRDefault="006B75B0" w:rsidP="006B75B0">
      <w:pPr>
        <w:ind w:left="360"/>
        <w:contextualSpacing/>
        <w:rPr>
          <w:rFonts w:ascii="Arial" w:hAnsi="Arial" w:cs="Arial"/>
          <w:b/>
          <w:bCs/>
          <w:sz w:val="20"/>
          <w:szCs w:val="20"/>
        </w:rPr>
      </w:pPr>
    </w:p>
    <w:p w:rsidR="006B75B0" w:rsidRPr="00B476AA" w:rsidRDefault="006B75B0" w:rsidP="006B75B0">
      <w:pPr>
        <w:contextualSpacing/>
        <w:rPr>
          <w:rFonts w:ascii="Arial" w:hAnsi="Arial" w:cs="Arial"/>
          <w:sz w:val="20"/>
          <w:szCs w:val="20"/>
        </w:rPr>
      </w:pPr>
      <w:r w:rsidRPr="00B476AA">
        <w:rPr>
          <w:rFonts w:ascii="Arial" w:hAnsi="Arial" w:cs="Arial"/>
          <w:b/>
          <w:bCs/>
          <w:sz w:val="20"/>
          <w:szCs w:val="20"/>
        </w:rPr>
        <w:t xml:space="preserve">306.2.4 Additional Clearance. </w:t>
      </w:r>
      <w:r>
        <w:rPr>
          <w:rFonts w:ascii="Arial" w:hAnsi="Arial" w:cs="Arial"/>
          <w:sz w:val="20"/>
          <w:szCs w:val="20"/>
        </w:rPr>
        <w:t>Space extend</w:t>
      </w:r>
      <w:r w:rsidRPr="00B476AA">
        <w:rPr>
          <w:rFonts w:ascii="Arial" w:hAnsi="Arial" w:cs="Arial"/>
          <w:sz w:val="20"/>
          <w:szCs w:val="20"/>
        </w:rPr>
        <w:t>ing greater than 6 inches (150 mm) beyond the available knee clearance at 9 inches (230 mm) above the floor sh</w:t>
      </w:r>
      <w:r>
        <w:rPr>
          <w:rFonts w:ascii="Arial" w:hAnsi="Arial" w:cs="Arial"/>
          <w:sz w:val="20"/>
          <w:szCs w:val="20"/>
        </w:rPr>
        <w:t>all not be considered toe clear</w:t>
      </w:r>
      <w:r w:rsidRPr="00B476AA">
        <w:rPr>
          <w:rFonts w:ascii="Arial" w:hAnsi="Arial" w:cs="Arial"/>
          <w:sz w:val="20"/>
          <w:szCs w:val="20"/>
        </w:rPr>
        <w:t>ance.</w:t>
      </w:r>
    </w:p>
    <w:p w:rsidR="006B75B0" w:rsidRPr="00B476AA" w:rsidRDefault="006B75B0" w:rsidP="006B75B0">
      <w:pPr>
        <w:ind w:left="360"/>
        <w:contextualSpacing/>
        <w:rPr>
          <w:rFonts w:ascii="Arial" w:hAnsi="Arial" w:cs="Arial"/>
          <w:b/>
          <w:bCs/>
          <w:sz w:val="20"/>
          <w:szCs w:val="20"/>
        </w:rPr>
      </w:pPr>
    </w:p>
    <w:p w:rsidR="006B75B0" w:rsidRPr="00B476AA" w:rsidRDefault="006B75B0" w:rsidP="006B75B0">
      <w:pPr>
        <w:contextualSpacing/>
        <w:rPr>
          <w:rFonts w:ascii="Arial" w:hAnsi="Arial" w:cs="Arial"/>
          <w:sz w:val="20"/>
          <w:szCs w:val="20"/>
        </w:rPr>
      </w:pPr>
      <w:r w:rsidRPr="00B476AA">
        <w:rPr>
          <w:rFonts w:ascii="Arial" w:hAnsi="Arial" w:cs="Arial"/>
          <w:b/>
          <w:bCs/>
          <w:sz w:val="20"/>
          <w:szCs w:val="20"/>
        </w:rPr>
        <w:t xml:space="preserve">306.2.5 Width. </w:t>
      </w:r>
      <w:r w:rsidRPr="00B476AA">
        <w:rPr>
          <w:rFonts w:ascii="Arial" w:hAnsi="Arial" w:cs="Arial"/>
          <w:sz w:val="20"/>
          <w:szCs w:val="20"/>
        </w:rPr>
        <w:t>Toe clearance shall be 30 inches (760 mm) minimum in width.</w:t>
      </w:r>
    </w:p>
    <w:p w:rsidR="006B75B0" w:rsidRPr="00B476AA" w:rsidRDefault="006B75B0" w:rsidP="006B75B0">
      <w:pPr>
        <w:jc w:val="center"/>
      </w:pPr>
    </w:p>
    <w:p w:rsidR="006B75B0" w:rsidRDefault="006B75B0" w:rsidP="006B75B0">
      <w:pPr>
        <w:rPr>
          <w:rFonts w:ascii="Arial" w:hAnsi="Arial" w:cs="Arial"/>
          <w:b/>
          <w:bCs/>
          <w:sz w:val="20"/>
          <w:szCs w:val="20"/>
        </w:rPr>
      </w:pPr>
      <w:r w:rsidRPr="00B476AA">
        <w:rPr>
          <w:rFonts w:ascii="Arial" w:hAnsi="Arial" w:cs="Arial"/>
          <w:b/>
          <w:bCs/>
          <w:sz w:val="20"/>
          <w:szCs w:val="20"/>
        </w:rPr>
        <w:t>306.3 Knee Clearance.</w:t>
      </w:r>
    </w:p>
    <w:p w:rsidR="006B75B0" w:rsidRDefault="006B75B0" w:rsidP="006B75B0">
      <w:pPr>
        <w:rPr>
          <w:rFonts w:ascii="Arial" w:hAnsi="Arial" w:cs="Arial"/>
          <w:b/>
          <w:bCs/>
          <w:sz w:val="20"/>
          <w:szCs w:val="20"/>
        </w:rPr>
      </w:pPr>
    </w:p>
    <w:p w:rsidR="006B75B0" w:rsidRDefault="006B75B0" w:rsidP="006B75B0">
      <w:pPr>
        <w:rPr>
          <w:rFonts w:ascii="Arial" w:hAnsi="Arial" w:cs="Arial"/>
          <w:bCs/>
          <w:i/>
          <w:color w:val="FF0000"/>
          <w:sz w:val="20"/>
          <w:szCs w:val="20"/>
        </w:rPr>
      </w:pPr>
      <w:r>
        <w:rPr>
          <w:rFonts w:ascii="Arial" w:hAnsi="Arial" w:cs="Arial"/>
          <w:bCs/>
          <w:i/>
          <w:noProof/>
          <w:color w:val="FF0000"/>
          <w:sz w:val="20"/>
          <w:szCs w:val="20"/>
        </w:rPr>
        <w:lastRenderedPageBreak/>
        <w:drawing>
          <wp:inline distT="0" distB="0" distL="0" distR="0">
            <wp:extent cx="2263140" cy="2983230"/>
            <wp:effectExtent l="0" t="0" r="3810" b="7620"/>
            <wp:docPr id="45" name="Picture 45"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3140" cy="2983230"/>
                    </a:xfrm>
                    <a:prstGeom prst="rect">
                      <a:avLst/>
                    </a:prstGeom>
                    <a:noFill/>
                    <a:ln>
                      <a:noFill/>
                    </a:ln>
                  </pic:spPr>
                </pic:pic>
              </a:graphicData>
            </a:graphic>
          </wp:inline>
        </w:drawing>
      </w:r>
      <w:r>
        <w:rPr>
          <w:rFonts w:ascii="Arial" w:hAnsi="Arial" w:cs="Arial"/>
          <w:bCs/>
          <w:i/>
          <w:noProof/>
          <w:color w:val="FF0000"/>
          <w:sz w:val="20"/>
          <w:szCs w:val="20"/>
        </w:rPr>
        <w:drawing>
          <wp:inline distT="0" distB="0" distL="0" distR="0">
            <wp:extent cx="2251710" cy="2331720"/>
            <wp:effectExtent l="0" t="0" r="0" b="0"/>
            <wp:docPr id="44" name="Picture 44"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1710" cy="2331720"/>
                    </a:xfrm>
                    <a:prstGeom prst="rect">
                      <a:avLst/>
                    </a:prstGeom>
                    <a:noFill/>
                    <a:ln>
                      <a:noFill/>
                    </a:ln>
                  </pic:spPr>
                </pic:pic>
              </a:graphicData>
            </a:graphic>
          </wp:inline>
        </w:drawing>
      </w:r>
    </w:p>
    <w:p w:rsidR="006B75B0" w:rsidRDefault="006B75B0" w:rsidP="006B75B0">
      <w:pPr>
        <w:rPr>
          <w:rFonts w:ascii="Arial" w:hAnsi="Arial" w:cs="Arial"/>
          <w:bCs/>
          <w:i/>
          <w:color w:val="FF0000"/>
          <w:sz w:val="20"/>
          <w:szCs w:val="20"/>
        </w:rPr>
      </w:pPr>
      <w:r w:rsidRPr="00D965E0">
        <w:rPr>
          <w:rFonts w:ascii="Arial" w:hAnsi="Arial" w:cs="Arial"/>
          <w:bCs/>
          <w:i/>
          <w:color w:val="FF0000"/>
          <w:sz w:val="20"/>
          <w:szCs w:val="20"/>
        </w:rPr>
        <w:t>Figure 306.3 – Knee clearance</w:t>
      </w:r>
    </w:p>
    <w:p w:rsidR="006B75B0" w:rsidRDefault="006B75B0" w:rsidP="006B75B0">
      <w:pPr>
        <w:ind w:left="360"/>
        <w:contextualSpacing/>
        <w:rPr>
          <w:rFonts w:ascii="Arial" w:hAnsi="Arial" w:cs="Arial"/>
          <w:bCs/>
          <w:i/>
          <w:color w:val="FF0000"/>
          <w:sz w:val="20"/>
          <w:szCs w:val="20"/>
        </w:rPr>
      </w:pPr>
      <w:r>
        <w:rPr>
          <w:rFonts w:ascii="Arial" w:hAnsi="Arial" w:cs="Arial"/>
          <w:bCs/>
          <w:i/>
          <w:color w:val="FF0000"/>
          <w:sz w:val="20"/>
          <w:szCs w:val="20"/>
        </w:rPr>
        <w:t>a) elevation</w:t>
      </w:r>
    </w:p>
    <w:p w:rsidR="006B75B0" w:rsidRPr="00D965E0" w:rsidRDefault="006B75B0" w:rsidP="006B75B0">
      <w:pPr>
        <w:ind w:left="360"/>
        <w:contextualSpacing/>
        <w:rPr>
          <w:rFonts w:ascii="Arial" w:hAnsi="Arial" w:cs="Arial"/>
          <w:bCs/>
          <w:i/>
          <w:color w:val="FF0000"/>
          <w:sz w:val="20"/>
          <w:szCs w:val="20"/>
        </w:rPr>
      </w:pPr>
      <w:r>
        <w:rPr>
          <w:rFonts w:ascii="Arial" w:hAnsi="Arial" w:cs="Arial"/>
          <w:bCs/>
          <w:i/>
          <w:color w:val="FF0000"/>
          <w:sz w:val="20"/>
          <w:szCs w:val="20"/>
        </w:rPr>
        <w:t>b) plan</w:t>
      </w:r>
    </w:p>
    <w:p w:rsidR="006B75B0" w:rsidRPr="00B476AA" w:rsidRDefault="006B75B0" w:rsidP="006B75B0">
      <w:pPr>
        <w:ind w:left="360"/>
        <w:contextualSpacing/>
        <w:jc w:val="both"/>
        <w:rPr>
          <w:rFonts w:ascii="Arial" w:hAnsi="Arial" w:cs="Arial"/>
          <w:b/>
          <w:bCs/>
          <w:sz w:val="20"/>
          <w:szCs w:val="20"/>
        </w:rPr>
      </w:pPr>
    </w:p>
    <w:p w:rsidR="006B75B0" w:rsidRPr="00B476AA" w:rsidRDefault="006B75B0" w:rsidP="006B75B0">
      <w:pPr>
        <w:contextualSpacing/>
        <w:rPr>
          <w:rFonts w:ascii="Arial" w:hAnsi="Arial" w:cs="Arial"/>
          <w:sz w:val="20"/>
          <w:szCs w:val="20"/>
        </w:rPr>
      </w:pPr>
      <w:r w:rsidRPr="00B476AA">
        <w:rPr>
          <w:rFonts w:ascii="Arial" w:hAnsi="Arial" w:cs="Arial"/>
          <w:b/>
          <w:bCs/>
          <w:sz w:val="20"/>
          <w:szCs w:val="20"/>
        </w:rPr>
        <w:t xml:space="preserve">306.3.1 General. </w:t>
      </w:r>
      <w:r w:rsidRPr="00B476AA">
        <w:rPr>
          <w:rFonts w:ascii="Arial" w:hAnsi="Arial" w:cs="Arial"/>
          <w:sz w:val="20"/>
          <w:szCs w:val="20"/>
        </w:rPr>
        <w:t>Space beneath an element between 9 inches (230 mm) and 27 inches (685 mm) above the floor shall be considered knee clearance and shall comply with Section 306.3.</w:t>
      </w:r>
    </w:p>
    <w:p w:rsidR="006B75B0" w:rsidRPr="00B476AA" w:rsidRDefault="006B75B0" w:rsidP="006B75B0">
      <w:pPr>
        <w:ind w:left="360"/>
        <w:contextualSpacing/>
        <w:rPr>
          <w:rFonts w:ascii="Arial" w:hAnsi="Arial" w:cs="Arial"/>
          <w:b/>
          <w:bCs/>
          <w:sz w:val="20"/>
          <w:szCs w:val="20"/>
        </w:rPr>
      </w:pPr>
    </w:p>
    <w:p w:rsidR="006B75B0" w:rsidRPr="00B476AA" w:rsidRDefault="006B75B0" w:rsidP="006B75B0">
      <w:pPr>
        <w:contextualSpacing/>
        <w:rPr>
          <w:rFonts w:ascii="Arial" w:hAnsi="Arial" w:cs="Arial"/>
          <w:sz w:val="20"/>
          <w:szCs w:val="20"/>
        </w:rPr>
      </w:pPr>
      <w:r w:rsidRPr="00B476AA">
        <w:rPr>
          <w:rFonts w:ascii="Arial" w:hAnsi="Arial" w:cs="Arial"/>
          <w:b/>
          <w:bCs/>
          <w:sz w:val="20"/>
          <w:szCs w:val="20"/>
        </w:rPr>
        <w:t xml:space="preserve">306.3.2 Maximum Depth. </w:t>
      </w:r>
      <w:r w:rsidRPr="00B476AA">
        <w:rPr>
          <w:rFonts w:ascii="Arial" w:hAnsi="Arial" w:cs="Arial"/>
          <w:sz w:val="20"/>
          <w:szCs w:val="20"/>
        </w:rPr>
        <w:t>Knee clearance shall be permitted to</w:t>
      </w:r>
      <w:r>
        <w:rPr>
          <w:rFonts w:ascii="Arial" w:hAnsi="Arial" w:cs="Arial"/>
          <w:sz w:val="20"/>
          <w:szCs w:val="20"/>
        </w:rPr>
        <w:t xml:space="preserve"> extend 25 inches (635 mm) maxi</w:t>
      </w:r>
      <w:r w:rsidRPr="00B476AA">
        <w:rPr>
          <w:rFonts w:ascii="Arial" w:hAnsi="Arial" w:cs="Arial"/>
          <w:sz w:val="20"/>
          <w:szCs w:val="20"/>
        </w:rPr>
        <w:t>mum under an element at 9 inches (230 mm) above the floor.</w:t>
      </w:r>
    </w:p>
    <w:p w:rsidR="006B75B0" w:rsidRPr="00B476AA" w:rsidRDefault="006B75B0" w:rsidP="006B75B0">
      <w:pPr>
        <w:ind w:left="360"/>
        <w:contextualSpacing/>
        <w:rPr>
          <w:rFonts w:ascii="Arial" w:hAnsi="Arial" w:cs="Arial"/>
          <w:sz w:val="20"/>
          <w:szCs w:val="20"/>
        </w:rPr>
      </w:pPr>
    </w:p>
    <w:p w:rsidR="006B75B0" w:rsidRPr="00B476AA" w:rsidRDefault="006B75B0" w:rsidP="006B75B0">
      <w:pPr>
        <w:rPr>
          <w:rFonts w:ascii="Arial" w:hAnsi="Arial" w:cs="Arial"/>
          <w:sz w:val="20"/>
          <w:szCs w:val="20"/>
        </w:rPr>
      </w:pPr>
      <w:r w:rsidRPr="00B476AA">
        <w:rPr>
          <w:rFonts w:ascii="Arial" w:hAnsi="Arial" w:cs="Arial"/>
          <w:b/>
          <w:bCs/>
          <w:sz w:val="20"/>
          <w:szCs w:val="20"/>
        </w:rPr>
        <w:t xml:space="preserve">306.3.3 Minimum Depth. </w:t>
      </w:r>
      <w:r>
        <w:rPr>
          <w:rFonts w:ascii="Arial" w:hAnsi="Arial" w:cs="Arial"/>
          <w:sz w:val="20"/>
          <w:szCs w:val="20"/>
        </w:rPr>
        <w:t>Where knee clear</w:t>
      </w:r>
      <w:r w:rsidRPr="00B476AA">
        <w:rPr>
          <w:rFonts w:ascii="Arial" w:hAnsi="Arial" w:cs="Arial"/>
          <w:sz w:val="20"/>
          <w:szCs w:val="20"/>
        </w:rPr>
        <w:t>ance is required beneath an element as part of a clear floor space</w:t>
      </w:r>
      <w:r w:rsidRPr="00CF4AB0">
        <w:rPr>
          <w:rFonts w:ascii="Arial" w:hAnsi="Arial" w:cs="Arial"/>
          <w:sz w:val="20"/>
          <w:szCs w:val="20"/>
        </w:rPr>
        <w:t xml:space="preserve"> complying with Section 305</w:t>
      </w:r>
      <w:r w:rsidRPr="00B476AA">
        <w:rPr>
          <w:rFonts w:ascii="Arial" w:hAnsi="Arial" w:cs="Arial"/>
          <w:sz w:val="20"/>
          <w:szCs w:val="20"/>
        </w:rPr>
        <w:t>, the knee clearance shall be 11 inches (280 mm) minimum in depth at 9 inches (230 mm) above the floor, and 8 inches (205 mm) minimum in depth at 27 inches (685 mm) above the floor.</w:t>
      </w:r>
    </w:p>
    <w:p w:rsidR="006B75B0" w:rsidRDefault="006B75B0" w:rsidP="006B75B0">
      <w:pPr>
        <w:ind w:left="360"/>
        <w:rPr>
          <w:rFonts w:ascii="Arial" w:hAnsi="Arial" w:cs="Arial"/>
          <w:b/>
          <w:bCs/>
          <w:sz w:val="20"/>
          <w:szCs w:val="20"/>
        </w:rPr>
      </w:pPr>
    </w:p>
    <w:p w:rsidR="006B75B0" w:rsidRPr="00B476AA" w:rsidRDefault="006B75B0" w:rsidP="006B75B0">
      <w:pPr>
        <w:rPr>
          <w:rFonts w:ascii="Arial" w:hAnsi="Arial" w:cs="Arial"/>
          <w:sz w:val="20"/>
          <w:szCs w:val="20"/>
        </w:rPr>
      </w:pPr>
      <w:r w:rsidRPr="00B476AA">
        <w:rPr>
          <w:rFonts w:ascii="Arial" w:hAnsi="Arial" w:cs="Arial"/>
          <w:b/>
          <w:bCs/>
          <w:sz w:val="20"/>
          <w:szCs w:val="20"/>
        </w:rPr>
        <w:t xml:space="preserve">306.3.4 Clearance Reduction. </w:t>
      </w:r>
      <w:r w:rsidRPr="00B476AA">
        <w:rPr>
          <w:rFonts w:ascii="Arial" w:hAnsi="Arial" w:cs="Arial"/>
          <w:sz w:val="20"/>
          <w:szCs w:val="20"/>
        </w:rPr>
        <w:t>Between 9 inches (230 mm) and 27 inches (685 mm) above the floor, the knee clearance shall be permitted to be reduced at a rate of 1 inch (25 mm) in depth</w:t>
      </w:r>
      <w:r w:rsidRPr="009017F8">
        <w:rPr>
          <w:rFonts w:ascii="Arial" w:hAnsi="Arial" w:cs="Arial"/>
          <w:sz w:val="20"/>
          <w:szCs w:val="20"/>
        </w:rPr>
        <w:t xml:space="preserve"> </w:t>
      </w:r>
      <w:r w:rsidRPr="00B476AA">
        <w:rPr>
          <w:rFonts w:ascii="Arial" w:hAnsi="Arial" w:cs="Arial"/>
          <w:sz w:val="20"/>
          <w:szCs w:val="20"/>
        </w:rPr>
        <w:t>for each 6 inches (150 mm) in height.</w:t>
      </w:r>
    </w:p>
    <w:p w:rsidR="006B75B0" w:rsidRPr="00B476AA" w:rsidRDefault="006B75B0" w:rsidP="006B75B0">
      <w:pPr>
        <w:ind w:left="360"/>
        <w:rPr>
          <w:rFonts w:ascii="Arial" w:hAnsi="Arial" w:cs="Arial"/>
          <w:b/>
          <w:bCs/>
          <w:sz w:val="20"/>
          <w:szCs w:val="20"/>
        </w:rPr>
      </w:pPr>
    </w:p>
    <w:p w:rsidR="006B75B0" w:rsidRDefault="006B75B0" w:rsidP="006B75B0">
      <w:pPr>
        <w:rPr>
          <w:rFonts w:ascii="Arial" w:hAnsi="Arial" w:cs="Arial"/>
          <w:sz w:val="20"/>
          <w:szCs w:val="20"/>
        </w:rPr>
      </w:pPr>
      <w:r w:rsidRPr="00B476AA">
        <w:rPr>
          <w:rFonts w:ascii="Arial" w:hAnsi="Arial" w:cs="Arial"/>
          <w:b/>
          <w:bCs/>
          <w:sz w:val="20"/>
          <w:szCs w:val="20"/>
        </w:rPr>
        <w:t xml:space="preserve">306.3.5 Width. </w:t>
      </w:r>
      <w:r w:rsidRPr="00B476AA">
        <w:rPr>
          <w:rFonts w:ascii="Arial" w:hAnsi="Arial" w:cs="Arial"/>
          <w:sz w:val="20"/>
          <w:szCs w:val="20"/>
        </w:rPr>
        <w:t>Knee clearance shall be 30 inches (760 mm) minimum in width.</w:t>
      </w:r>
    </w:p>
    <w:p w:rsidR="006B75B0" w:rsidRPr="00B476AA" w:rsidRDefault="006B75B0" w:rsidP="006B75B0">
      <w:pPr>
        <w:rPr>
          <w:rFonts w:ascii="Arial" w:hAnsi="Arial" w:cs="Arial"/>
          <w:sz w:val="20"/>
          <w:szCs w:val="20"/>
        </w:rPr>
      </w:pPr>
    </w:p>
    <w:p w:rsidR="006B75B0" w:rsidRPr="00B476AA" w:rsidRDefault="006B75B0" w:rsidP="006B75B0">
      <w:pPr>
        <w:rPr>
          <w:rFonts w:ascii="Arial" w:hAnsi="Arial" w:cs="Arial"/>
          <w:b/>
          <w:bCs/>
          <w:sz w:val="20"/>
          <w:szCs w:val="20"/>
        </w:rPr>
      </w:pPr>
      <w:r w:rsidRPr="00B476AA">
        <w:rPr>
          <w:rFonts w:ascii="Arial" w:hAnsi="Arial" w:cs="Arial"/>
          <w:b/>
          <w:bCs/>
          <w:sz w:val="20"/>
          <w:szCs w:val="20"/>
        </w:rPr>
        <w:t>307 Protruding Objects</w:t>
      </w:r>
    </w:p>
    <w:p w:rsidR="006B75B0" w:rsidRDefault="006B75B0" w:rsidP="006B75B0">
      <w:pPr>
        <w:rPr>
          <w:rFonts w:ascii="Arial" w:hAnsi="Arial" w:cs="Arial"/>
          <w:b/>
          <w:bCs/>
          <w:sz w:val="20"/>
          <w:szCs w:val="20"/>
        </w:rPr>
      </w:pPr>
    </w:p>
    <w:p w:rsidR="006B75B0" w:rsidRPr="00B476AA" w:rsidRDefault="006B75B0" w:rsidP="006B75B0">
      <w:pPr>
        <w:rPr>
          <w:rFonts w:ascii="Arial" w:hAnsi="Arial" w:cs="Arial"/>
          <w:sz w:val="20"/>
          <w:szCs w:val="20"/>
        </w:rPr>
      </w:pPr>
      <w:r w:rsidRPr="00B476AA">
        <w:rPr>
          <w:rFonts w:ascii="Arial" w:hAnsi="Arial" w:cs="Arial"/>
          <w:b/>
          <w:bCs/>
          <w:sz w:val="20"/>
          <w:szCs w:val="20"/>
        </w:rPr>
        <w:t xml:space="preserve">307.1 General. </w:t>
      </w:r>
      <w:r w:rsidRPr="00B476AA">
        <w:rPr>
          <w:rFonts w:ascii="Arial" w:hAnsi="Arial" w:cs="Arial"/>
          <w:sz w:val="20"/>
          <w:szCs w:val="20"/>
        </w:rPr>
        <w:t>Protruding objects on circulation paths shall comply with Section 307.</w:t>
      </w:r>
    </w:p>
    <w:p w:rsidR="006B75B0" w:rsidRDefault="006B75B0" w:rsidP="006B75B0">
      <w:pPr>
        <w:rPr>
          <w:rFonts w:ascii="Arial" w:hAnsi="Arial" w:cs="Arial"/>
          <w:b/>
          <w:bCs/>
          <w:sz w:val="20"/>
          <w:szCs w:val="20"/>
        </w:rPr>
      </w:pPr>
    </w:p>
    <w:p w:rsidR="006B75B0" w:rsidRPr="00B476AA" w:rsidRDefault="006B75B0" w:rsidP="006B75B0">
      <w:pPr>
        <w:rPr>
          <w:rFonts w:ascii="Arial" w:hAnsi="Arial" w:cs="Arial"/>
          <w:sz w:val="20"/>
          <w:szCs w:val="20"/>
        </w:rPr>
      </w:pPr>
      <w:r w:rsidRPr="00B476AA">
        <w:rPr>
          <w:rFonts w:ascii="Arial" w:hAnsi="Arial" w:cs="Arial"/>
          <w:b/>
          <w:bCs/>
          <w:sz w:val="20"/>
          <w:szCs w:val="20"/>
        </w:rPr>
        <w:t xml:space="preserve">307.2 Protrusion Limits. </w:t>
      </w:r>
      <w:r w:rsidRPr="00B476AA">
        <w:rPr>
          <w:rFonts w:ascii="Arial" w:hAnsi="Arial" w:cs="Arial"/>
          <w:sz w:val="20"/>
          <w:szCs w:val="20"/>
        </w:rPr>
        <w:t>Objects with leading edges more than 27 inches (685 mm) and not more</w:t>
      </w:r>
      <w:r w:rsidRPr="00B476AA">
        <w:rPr>
          <w:rFonts w:ascii="Arial" w:hAnsi="Arial" w:cs="Arial"/>
          <w:sz w:val="20"/>
          <w:szCs w:val="20"/>
        </w:rPr>
        <w:br/>
        <w:t>than 80 inches (2030 mm) above the floor shall protrude 4 inches (100 mm) maximum horizontally into the circulation path.</w:t>
      </w:r>
    </w:p>
    <w:p w:rsidR="006B75B0" w:rsidRPr="00B476AA" w:rsidRDefault="006B75B0" w:rsidP="006B75B0">
      <w:pPr>
        <w:ind w:left="360"/>
        <w:rPr>
          <w:rFonts w:ascii="Arial" w:hAnsi="Arial" w:cs="Arial"/>
          <w:b/>
          <w:bCs/>
          <w:sz w:val="20"/>
          <w:szCs w:val="20"/>
        </w:rPr>
      </w:pPr>
    </w:p>
    <w:p w:rsidR="006B75B0" w:rsidRDefault="006B75B0" w:rsidP="006B75B0">
      <w:pPr>
        <w:ind w:left="360"/>
        <w:rPr>
          <w:rFonts w:ascii="Arial" w:hAnsi="Arial" w:cs="Arial"/>
          <w:sz w:val="20"/>
          <w:szCs w:val="20"/>
        </w:rPr>
      </w:pPr>
      <w:r w:rsidRPr="00B476AA">
        <w:rPr>
          <w:rFonts w:ascii="Arial" w:hAnsi="Arial" w:cs="Arial"/>
          <w:b/>
          <w:bCs/>
          <w:sz w:val="20"/>
          <w:szCs w:val="20"/>
        </w:rPr>
        <w:t xml:space="preserve">EXCEPTION:  </w:t>
      </w:r>
      <w:r w:rsidRPr="00B476AA">
        <w:rPr>
          <w:rFonts w:ascii="Arial" w:hAnsi="Arial" w:cs="Arial"/>
          <w:sz w:val="20"/>
          <w:szCs w:val="20"/>
        </w:rPr>
        <w:t xml:space="preserve">Handrails shall be permitted to protrude 4 </w:t>
      </w:r>
      <w:r w:rsidRPr="00B476AA">
        <w:rPr>
          <w:rFonts w:ascii="Arial" w:hAnsi="Arial" w:cs="Arial"/>
          <w:sz w:val="20"/>
          <w:szCs w:val="20"/>
          <w:vertAlign w:val="superscript"/>
        </w:rPr>
        <w:t>1</w:t>
      </w:r>
      <w:r w:rsidRPr="00B476AA">
        <w:rPr>
          <w:rFonts w:ascii="Arial" w:hAnsi="Arial" w:cs="Arial"/>
          <w:sz w:val="20"/>
          <w:szCs w:val="20"/>
        </w:rPr>
        <w:t>/</w:t>
      </w:r>
      <w:r w:rsidRPr="00B476AA">
        <w:rPr>
          <w:rFonts w:ascii="Arial" w:hAnsi="Arial" w:cs="Arial"/>
          <w:sz w:val="20"/>
          <w:szCs w:val="20"/>
          <w:vertAlign w:val="subscript"/>
        </w:rPr>
        <w:t>2</w:t>
      </w:r>
      <w:r w:rsidRPr="00B476AA">
        <w:rPr>
          <w:rFonts w:ascii="Arial" w:hAnsi="Arial" w:cs="Arial"/>
          <w:sz w:val="20"/>
          <w:szCs w:val="20"/>
        </w:rPr>
        <w:t xml:space="preserve"> inches (115 mm) maximum.</w:t>
      </w:r>
    </w:p>
    <w:p w:rsidR="006B75B0" w:rsidRDefault="006B75B0" w:rsidP="006B75B0">
      <w:pPr>
        <w:ind w:left="360"/>
        <w:rPr>
          <w:rFonts w:ascii="Arial" w:hAnsi="Arial" w:cs="Arial"/>
          <w:sz w:val="20"/>
          <w:szCs w:val="20"/>
        </w:rPr>
      </w:pPr>
    </w:p>
    <w:p w:rsidR="006B75B0" w:rsidRDefault="006B75B0" w:rsidP="006B75B0">
      <w:pPr>
        <w:ind w:left="360"/>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274570" cy="2914650"/>
            <wp:effectExtent l="0" t="0" r="0" b="0"/>
            <wp:docPr id="43" name="Picture 43" descr="3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07_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4570" cy="2914650"/>
                    </a:xfrm>
                    <a:prstGeom prst="rect">
                      <a:avLst/>
                    </a:prstGeom>
                    <a:noFill/>
                    <a:ln>
                      <a:noFill/>
                    </a:ln>
                  </pic:spPr>
                </pic:pic>
              </a:graphicData>
            </a:graphic>
          </wp:inline>
        </w:drawing>
      </w:r>
    </w:p>
    <w:p w:rsidR="006B75B0" w:rsidRPr="005A17C0" w:rsidRDefault="006B75B0" w:rsidP="006B75B0">
      <w:pPr>
        <w:ind w:left="360"/>
        <w:rPr>
          <w:rFonts w:ascii="Arial" w:hAnsi="Arial" w:cs="Arial"/>
          <w:i/>
          <w:color w:val="FF0000"/>
          <w:sz w:val="20"/>
          <w:szCs w:val="20"/>
        </w:rPr>
      </w:pPr>
      <w:r w:rsidRPr="005A17C0">
        <w:rPr>
          <w:rFonts w:ascii="Arial" w:hAnsi="Arial" w:cs="Arial"/>
          <w:i/>
          <w:color w:val="FF0000"/>
          <w:sz w:val="20"/>
          <w:szCs w:val="20"/>
        </w:rPr>
        <w:t>Figure 307.2 Limits of protruding objects</w:t>
      </w:r>
    </w:p>
    <w:p w:rsidR="006B75B0" w:rsidRDefault="006B75B0" w:rsidP="006B75B0">
      <w:pPr>
        <w:ind w:left="360"/>
        <w:rPr>
          <w:rFonts w:ascii="Arial" w:hAnsi="Arial" w:cs="Arial"/>
          <w:sz w:val="20"/>
          <w:szCs w:val="20"/>
        </w:rPr>
      </w:pPr>
    </w:p>
    <w:p w:rsidR="006B75B0" w:rsidRPr="00B476AA" w:rsidRDefault="006B75B0" w:rsidP="006B75B0">
      <w:pPr>
        <w:rPr>
          <w:rFonts w:ascii="Arial" w:hAnsi="Arial" w:cs="Arial"/>
          <w:sz w:val="20"/>
          <w:szCs w:val="20"/>
        </w:rPr>
      </w:pPr>
      <w:r w:rsidRPr="00B476AA">
        <w:rPr>
          <w:rFonts w:ascii="Arial" w:hAnsi="Arial" w:cs="Arial"/>
          <w:b/>
          <w:bCs/>
          <w:sz w:val="20"/>
          <w:szCs w:val="20"/>
        </w:rPr>
        <w:t xml:space="preserve">307.3 Post-Mounted Objects. </w:t>
      </w:r>
      <w:r w:rsidRPr="00B476AA">
        <w:rPr>
          <w:rFonts w:ascii="Arial" w:hAnsi="Arial" w:cs="Arial"/>
          <w:sz w:val="20"/>
          <w:szCs w:val="20"/>
        </w:rPr>
        <w:t>Objects on posts or pylons shall be permitted to overhang 4 inches (100 mm) maximum where more than 27 inches (685 mm) and not more than 80 inches (2030 mm) above the floor. Objects on multiple posts or pylons where the clear distance between the posts or pylons is greater than 12 inc</w:t>
      </w:r>
      <w:r>
        <w:rPr>
          <w:rFonts w:ascii="Arial" w:hAnsi="Arial" w:cs="Arial"/>
          <w:sz w:val="20"/>
          <w:szCs w:val="20"/>
        </w:rPr>
        <w:t>hes (305 mm) shall have the low</w:t>
      </w:r>
      <w:r w:rsidRPr="00B476AA">
        <w:rPr>
          <w:rFonts w:ascii="Arial" w:hAnsi="Arial" w:cs="Arial"/>
          <w:sz w:val="20"/>
          <w:szCs w:val="20"/>
        </w:rPr>
        <w:t>est edge of such object either 27 inches (685 mm) maximum or 80 inches (2030 mm) minimum above the floor.</w:t>
      </w:r>
    </w:p>
    <w:p w:rsidR="006B75B0" w:rsidRPr="00B476AA" w:rsidRDefault="006B75B0" w:rsidP="006B75B0">
      <w:pPr>
        <w:rPr>
          <w:rFonts w:ascii="Arial" w:hAnsi="Arial" w:cs="Arial"/>
          <w:sz w:val="20"/>
          <w:szCs w:val="20"/>
        </w:rPr>
      </w:pPr>
    </w:p>
    <w:p w:rsidR="006B75B0" w:rsidRDefault="006B75B0" w:rsidP="006B75B0">
      <w:pPr>
        <w:tabs>
          <w:tab w:val="left" w:pos="0"/>
        </w:tabs>
        <w:autoSpaceDE w:val="0"/>
        <w:autoSpaceDN w:val="0"/>
        <w:adjustRightInd w:val="0"/>
        <w:ind w:left="360"/>
        <w:rPr>
          <w:rFonts w:ascii="Arial" w:hAnsi="Arial" w:cs="Arial"/>
          <w:sz w:val="20"/>
          <w:szCs w:val="20"/>
        </w:rPr>
      </w:pPr>
      <w:r w:rsidRPr="00B476AA">
        <w:rPr>
          <w:rFonts w:ascii="Arial" w:hAnsi="Arial" w:cs="Arial"/>
          <w:b/>
          <w:bCs/>
          <w:sz w:val="20"/>
          <w:szCs w:val="20"/>
        </w:rPr>
        <w:t>EXCEPTION</w:t>
      </w:r>
      <w:r w:rsidRPr="006A2327">
        <w:rPr>
          <w:rFonts w:ascii="Arial" w:hAnsi="Arial" w:cs="Arial"/>
          <w:b/>
          <w:bCs/>
          <w:sz w:val="20"/>
          <w:szCs w:val="20"/>
        </w:rPr>
        <w:t>:</w:t>
      </w:r>
      <w:r w:rsidRPr="009017F8">
        <w:rPr>
          <w:rFonts w:ascii="Arial" w:hAnsi="Arial" w:cs="Arial"/>
          <w:sz w:val="20"/>
          <w:szCs w:val="20"/>
        </w:rPr>
        <w:t xml:space="preserve"> </w:t>
      </w:r>
      <w:r w:rsidRPr="00CF4AB0">
        <w:rPr>
          <w:rFonts w:ascii="Arial" w:hAnsi="Arial" w:cs="Arial"/>
          <w:sz w:val="20"/>
          <w:szCs w:val="20"/>
        </w:rPr>
        <w:t>S</w:t>
      </w:r>
      <w:r w:rsidRPr="00B476AA">
        <w:rPr>
          <w:rFonts w:ascii="Arial" w:hAnsi="Arial" w:cs="Arial"/>
          <w:sz w:val="20"/>
          <w:szCs w:val="20"/>
        </w:rPr>
        <w:t xml:space="preserve">loping portions of handrails between the top and bottom riser of stairs and above the ramp run </w:t>
      </w:r>
      <w:r w:rsidRPr="00CF4AB0">
        <w:rPr>
          <w:rFonts w:ascii="Arial" w:hAnsi="Arial" w:cs="Arial"/>
          <w:sz w:val="20"/>
          <w:szCs w:val="20"/>
        </w:rPr>
        <w:t>shall not be required to comply with Section 307.3.</w:t>
      </w:r>
    </w:p>
    <w:p w:rsidR="006B75B0" w:rsidRDefault="006B75B0" w:rsidP="006B75B0">
      <w:pPr>
        <w:tabs>
          <w:tab w:val="left" w:pos="0"/>
        </w:tabs>
        <w:autoSpaceDE w:val="0"/>
        <w:autoSpaceDN w:val="0"/>
        <w:adjustRightInd w:val="0"/>
        <w:ind w:left="360"/>
        <w:rPr>
          <w:rFonts w:ascii="Arial" w:hAnsi="Arial" w:cs="Arial"/>
          <w:sz w:val="20"/>
          <w:szCs w:val="20"/>
        </w:rPr>
      </w:pPr>
    </w:p>
    <w:p w:rsidR="006B75B0" w:rsidRDefault="006B75B0" w:rsidP="006B75B0">
      <w:pPr>
        <w:tabs>
          <w:tab w:val="left" w:pos="0"/>
        </w:tabs>
        <w:autoSpaceDE w:val="0"/>
        <w:autoSpaceDN w:val="0"/>
        <w:adjustRightInd w:val="0"/>
        <w:ind w:left="360"/>
        <w:rPr>
          <w:rFonts w:ascii="Arial" w:hAnsi="Arial" w:cs="Arial"/>
          <w:i/>
          <w:color w:val="FF0000"/>
          <w:sz w:val="20"/>
          <w:szCs w:val="20"/>
        </w:rPr>
      </w:pPr>
      <w:r>
        <w:rPr>
          <w:rFonts w:ascii="Arial" w:hAnsi="Arial" w:cs="Arial"/>
          <w:i/>
          <w:noProof/>
          <w:color w:val="FF0000"/>
          <w:sz w:val="20"/>
          <w:szCs w:val="20"/>
        </w:rPr>
        <w:drawing>
          <wp:inline distT="0" distB="0" distL="0" distR="0">
            <wp:extent cx="3086100" cy="2571750"/>
            <wp:effectExtent l="0" t="0" r="0" b="0"/>
            <wp:docPr id="42" name="Picture 42" descr="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0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2571750"/>
                    </a:xfrm>
                    <a:prstGeom prst="rect">
                      <a:avLst/>
                    </a:prstGeom>
                    <a:noFill/>
                    <a:ln>
                      <a:noFill/>
                    </a:ln>
                  </pic:spPr>
                </pic:pic>
              </a:graphicData>
            </a:graphic>
          </wp:inline>
        </w:drawing>
      </w:r>
      <w:r>
        <w:rPr>
          <w:rFonts w:ascii="Arial" w:hAnsi="Arial" w:cs="Arial"/>
          <w:i/>
          <w:noProof/>
          <w:color w:val="FF0000"/>
          <w:sz w:val="20"/>
          <w:szCs w:val="20"/>
        </w:rPr>
        <w:lastRenderedPageBreak/>
        <w:drawing>
          <wp:inline distT="0" distB="0" distL="0" distR="0">
            <wp:extent cx="6012180" cy="3166110"/>
            <wp:effectExtent l="0" t="0" r="7620" b="0"/>
            <wp:docPr id="41" name="Picture 41" descr="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0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12180" cy="3166110"/>
                    </a:xfrm>
                    <a:prstGeom prst="rect">
                      <a:avLst/>
                    </a:prstGeom>
                    <a:noFill/>
                    <a:ln>
                      <a:noFill/>
                    </a:ln>
                  </pic:spPr>
                </pic:pic>
              </a:graphicData>
            </a:graphic>
          </wp:inline>
        </w:drawing>
      </w:r>
    </w:p>
    <w:p w:rsidR="006B75B0" w:rsidRPr="00F02ACE" w:rsidRDefault="006B75B0" w:rsidP="006B75B0">
      <w:pPr>
        <w:tabs>
          <w:tab w:val="left" w:pos="0"/>
        </w:tabs>
        <w:autoSpaceDE w:val="0"/>
        <w:autoSpaceDN w:val="0"/>
        <w:adjustRightInd w:val="0"/>
        <w:ind w:left="360"/>
        <w:rPr>
          <w:rFonts w:ascii="Arial" w:hAnsi="Arial" w:cs="Arial"/>
          <w:i/>
          <w:color w:val="FF0000"/>
          <w:sz w:val="20"/>
          <w:szCs w:val="20"/>
        </w:rPr>
      </w:pPr>
      <w:r w:rsidRPr="00F02ACE">
        <w:rPr>
          <w:rFonts w:ascii="Arial" w:hAnsi="Arial" w:cs="Arial"/>
          <w:i/>
          <w:color w:val="FF0000"/>
          <w:sz w:val="20"/>
          <w:szCs w:val="20"/>
        </w:rPr>
        <w:t>Figure 307.3 (a)&amp;(b) Post-mounted protruding objects</w:t>
      </w:r>
    </w:p>
    <w:p w:rsidR="006B75B0" w:rsidRDefault="006B75B0" w:rsidP="006B75B0">
      <w:pPr>
        <w:pStyle w:val="headl2"/>
        <w:tabs>
          <w:tab w:val="left" w:pos="6073"/>
        </w:tabs>
        <w:spacing w:before="0" w:line="240" w:lineRule="auto"/>
        <w:jc w:val="left"/>
        <w:rPr>
          <w:rFonts w:ascii="Arial" w:hAnsi="Arial" w:cs="Arial"/>
          <w:bCs w:val="0"/>
        </w:rPr>
      </w:pPr>
    </w:p>
    <w:p w:rsidR="006B75B0" w:rsidRPr="00CF4AB0" w:rsidRDefault="006B75B0" w:rsidP="006B75B0">
      <w:pPr>
        <w:pStyle w:val="headl2"/>
        <w:tabs>
          <w:tab w:val="left" w:pos="6073"/>
        </w:tabs>
        <w:spacing w:before="0" w:line="240" w:lineRule="auto"/>
        <w:jc w:val="left"/>
        <w:rPr>
          <w:rFonts w:ascii="Arial" w:hAnsi="Arial" w:cs="Arial"/>
          <w:b w:val="0"/>
        </w:rPr>
      </w:pPr>
      <w:r w:rsidRPr="00B476AA">
        <w:rPr>
          <w:rFonts w:ascii="Arial" w:hAnsi="Arial" w:cs="Arial"/>
          <w:bCs w:val="0"/>
        </w:rPr>
        <w:t>307.4 Vertical Clearance.</w:t>
      </w:r>
      <w:r w:rsidRPr="00B476AA">
        <w:rPr>
          <w:rFonts w:ascii="Arial" w:hAnsi="Arial" w:cs="Arial"/>
          <w:b w:val="0"/>
          <w:bCs w:val="0"/>
        </w:rPr>
        <w:t xml:space="preserve"> </w:t>
      </w:r>
      <w:r w:rsidRPr="00B476AA">
        <w:rPr>
          <w:rFonts w:ascii="Arial" w:hAnsi="Arial" w:cs="Arial"/>
          <w:b w:val="0"/>
        </w:rPr>
        <w:t xml:space="preserve">Vertical clearance shall be 80 inches (2030 mm) minimum </w:t>
      </w:r>
      <w:r w:rsidRPr="00CF4AB0">
        <w:rPr>
          <w:rFonts w:ascii="Arial" w:hAnsi="Arial" w:cs="Arial"/>
          <w:b w:val="0"/>
        </w:rPr>
        <w:t>in height</w:t>
      </w:r>
      <w:r w:rsidRPr="00B476AA">
        <w:rPr>
          <w:rFonts w:ascii="Arial" w:hAnsi="Arial" w:cs="Arial"/>
          <w:b w:val="0"/>
        </w:rPr>
        <w:t xml:space="preserve">. Rails or other barriers shall be provided where the vertical clearance is less than 80 inches (2030 mm) </w:t>
      </w:r>
      <w:r w:rsidRPr="00CF4AB0">
        <w:rPr>
          <w:rFonts w:ascii="Arial" w:hAnsi="Arial" w:cs="Arial"/>
          <w:b w:val="0"/>
        </w:rPr>
        <w:t>in height</w:t>
      </w:r>
      <w:r w:rsidRPr="00B476AA">
        <w:rPr>
          <w:rFonts w:ascii="Arial" w:hAnsi="Arial" w:cs="Arial"/>
          <w:b w:val="0"/>
        </w:rPr>
        <w:t>.</w:t>
      </w:r>
      <w:r w:rsidRPr="00CF4AB0">
        <w:rPr>
          <w:rFonts w:ascii="Arial" w:hAnsi="Arial" w:cs="Arial"/>
          <w:b w:val="0"/>
        </w:rPr>
        <w:t xml:space="preserve"> </w:t>
      </w:r>
      <w:r w:rsidRPr="00B476AA">
        <w:rPr>
          <w:rFonts w:ascii="Arial" w:hAnsi="Arial" w:cs="Arial"/>
          <w:b w:val="0"/>
        </w:rPr>
        <w:t>The leading edge of such rails or barrier shall be located 27 inches (685 mm) maximum above the</w:t>
      </w:r>
      <w:r w:rsidRPr="009017F8">
        <w:rPr>
          <w:rFonts w:ascii="Arial" w:hAnsi="Arial" w:cs="Arial"/>
          <w:b w:val="0"/>
        </w:rPr>
        <w:t xml:space="preserve"> </w:t>
      </w:r>
      <w:r w:rsidRPr="00B476AA">
        <w:rPr>
          <w:rFonts w:ascii="Arial" w:hAnsi="Arial" w:cs="Arial"/>
          <w:b w:val="0"/>
        </w:rPr>
        <w:t>floor</w:t>
      </w:r>
      <w:r w:rsidRPr="00EB1965">
        <w:rPr>
          <w:rFonts w:ascii="Arial" w:hAnsi="Arial" w:cs="Arial"/>
          <w:b w:val="0"/>
        </w:rPr>
        <w:t>.</w:t>
      </w:r>
    </w:p>
    <w:p w:rsidR="006B75B0" w:rsidRPr="00CF4AB0" w:rsidRDefault="006B75B0" w:rsidP="006B75B0">
      <w:pPr>
        <w:pStyle w:val="headl2"/>
        <w:tabs>
          <w:tab w:val="left" w:pos="6073"/>
        </w:tabs>
        <w:spacing w:before="0" w:line="240" w:lineRule="auto"/>
        <w:jc w:val="left"/>
        <w:rPr>
          <w:rFonts w:ascii="Arial" w:hAnsi="Arial" w:cs="Arial"/>
          <w:b w:val="0"/>
        </w:rPr>
      </w:pPr>
    </w:p>
    <w:p w:rsidR="006B75B0" w:rsidRDefault="006B75B0" w:rsidP="006B75B0">
      <w:pPr>
        <w:pStyle w:val="headl2"/>
        <w:tabs>
          <w:tab w:val="clear" w:pos="0"/>
          <w:tab w:val="left" w:pos="180"/>
          <w:tab w:val="left" w:pos="6073"/>
        </w:tabs>
        <w:spacing w:before="0" w:line="240" w:lineRule="auto"/>
        <w:ind w:left="360"/>
        <w:contextualSpacing/>
        <w:jc w:val="left"/>
        <w:rPr>
          <w:rFonts w:ascii="Arial" w:hAnsi="Arial"/>
          <w:b w:val="0"/>
        </w:rPr>
      </w:pPr>
      <w:r w:rsidRPr="00B476AA">
        <w:rPr>
          <w:rFonts w:ascii="Arial" w:hAnsi="Arial" w:cs="Arial"/>
          <w:bCs w:val="0"/>
        </w:rPr>
        <w:t xml:space="preserve">EXCEPTION:  </w:t>
      </w:r>
      <w:r w:rsidRPr="00B476AA">
        <w:rPr>
          <w:rFonts w:ascii="Arial" w:hAnsi="Arial"/>
          <w:b w:val="0"/>
        </w:rPr>
        <w:t>Door closers and door stops shall be permitted to be 78 inches (1980 mm) minimum above the floor.</w:t>
      </w:r>
    </w:p>
    <w:p w:rsidR="006B75B0" w:rsidRDefault="006B75B0" w:rsidP="006B75B0">
      <w:pPr>
        <w:pStyle w:val="headl2"/>
        <w:tabs>
          <w:tab w:val="clear" w:pos="0"/>
          <w:tab w:val="left" w:pos="180"/>
          <w:tab w:val="left" w:pos="6073"/>
        </w:tabs>
        <w:spacing w:before="0" w:line="240" w:lineRule="auto"/>
        <w:ind w:left="360"/>
        <w:contextualSpacing/>
        <w:jc w:val="left"/>
        <w:rPr>
          <w:rFonts w:ascii="Arial" w:hAnsi="Arial"/>
          <w:b w:val="0"/>
        </w:rPr>
      </w:pPr>
    </w:p>
    <w:p w:rsidR="006B75B0" w:rsidRDefault="006B75B0" w:rsidP="006B75B0">
      <w:pPr>
        <w:pStyle w:val="headl2"/>
        <w:tabs>
          <w:tab w:val="clear" w:pos="0"/>
          <w:tab w:val="left" w:pos="180"/>
          <w:tab w:val="left" w:pos="6073"/>
        </w:tabs>
        <w:spacing w:before="0" w:line="240" w:lineRule="auto"/>
        <w:ind w:left="360"/>
        <w:contextualSpacing/>
        <w:jc w:val="left"/>
        <w:rPr>
          <w:rFonts w:ascii="Arial" w:hAnsi="Arial"/>
          <w:b w:val="0"/>
          <w:i/>
          <w:color w:val="FF0000"/>
        </w:rPr>
      </w:pPr>
      <w:r>
        <w:rPr>
          <w:rFonts w:ascii="Arial" w:hAnsi="Arial"/>
          <w:b w:val="0"/>
          <w:i/>
          <w:noProof/>
          <w:color w:val="FF0000"/>
        </w:rPr>
        <w:drawing>
          <wp:inline distT="0" distB="0" distL="0" distR="0">
            <wp:extent cx="2811780" cy="1371600"/>
            <wp:effectExtent l="0" t="0" r="7620" b="0"/>
            <wp:docPr id="40" name="Picture 40" descr="30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07_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1780" cy="1371600"/>
                    </a:xfrm>
                    <a:prstGeom prst="rect">
                      <a:avLst/>
                    </a:prstGeom>
                    <a:noFill/>
                    <a:ln>
                      <a:noFill/>
                    </a:ln>
                  </pic:spPr>
                </pic:pic>
              </a:graphicData>
            </a:graphic>
          </wp:inline>
        </w:drawing>
      </w:r>
    </w:p>
    <w:p w:rsidR="006B75B0" w:rsidRPr="00F02ACE" w:rsidRDefault="006B75B0" w:rsidP="006B75B0">
      <w:pPr>
        <w:pStyle w:val="headl2"/>
        <w:tabs>
          <w:tab w:val="clear" w:pos="0"/>
          <w:tab w:val="left" w:pos="180"/>
          <w:tab w:val="left" w:pos="6073"/>
        </w:tabs>
        <w:spacing w:before="0" w:line="240" w:lineRule="auto"/>
        <w:ind w:left="360"/>
        <w:contextualSpacing/>
        <w:jc w:val="left"/>
        <w:rPr>
          <w:rFonts w:ascii="Arial" w:hAnsi="Arial"/>
          <w:b w:val="0"/>
          <w:i/>
          <w:color w:val="FF0000"/>
        </w:rPr>
      </w:pPr>
      <w:r w:rsidRPr="00F02ACE">
        <w:rPr>
          <w:rFonts w:ascii="Arial" w:hAnsi="Arial"/>
          <w:b w:val="0"/>
          <w:i/>
          <w:color w:val="FF0000"/>
        </w:rPr>
        <w:t>Figure 307.4 Reduced vertical clearance</w:t>
      </w:r>
    </w:p>
    <w:p w:rsidR="006B75B0" w:rsidRPr="00B476AA" w:rsidRDefault="006B75B0" w:rsidP="006B75B0">
      <w:pPr>
        <w:jc w:val="center"/>
        <w:rPr>
          <w:rFonts w:ascii="Arial" w:hAnsi="Arial" w:cs="Arial"/>
          <w:sz w:val="20"/>
          <w:szCs w:val="20"/>
        </w:rPr>
      </w:pPr>
    </w:p>
    <w:p w:rsidR="006B75B0" w:rsidRPr="00B476AA" w:rsidRDefault="006B75B0" w:rsidP="006B75B0">
      <w:pPr>
        <w:jc w:val="both"/>
        <w:rPr>
          <w:rFonts w:ascii="Arial" w:hAnsi="Arial" w:cs="Arial"/>
          <w:sz w:val="20"/>
          <w:szCs w:val="20"/>
        </w:rPr>
      </w:pPr>
      <w:r w:rsidRPr="00B476AA">
        <w:rPr>
          <w:rFonts w:ascii="Arial" w:hAnsi="Arial" w:cs="Arial"/>
          <w:b/>
          <w:bCs/>
          <w:sz w:val="20"/>
          <w:szCs w:val="20"/>
        </w:rPr>
        <w:t xml:space="preserve">307.5 Required Clear Width. </w:t>
      </w:r>
      <w:r w:rsidRPr="00B476AA">
        <w:rPr>
          <w:rFonts w:ascii="Arial" w:hAnsi="Arial" w:cs="Arial"/>
          <w:sz w:val="20"/>
          <w:szCs w:val="20"/>
        </w:rPr>
        <w:t xml:space="preserve">Protruding objects shall not reduce the clear width required for </w:t>
      </w:r>
      <w:r w:rsidRPr="00A4320F">
        <w:rPr>
          <w:rFonts w:ascii="Arial" w:hAnsi="Arial" w:cs="Arial"/>
          <w:sz w:val="20"/>
          <w:szCs w:val="20"/>
          <w:highlight w:val="yellow"/>
        </w:rPr>
        <w:t>accessi</w:t>
      </w:r>
      <w:r w:rsidRPr="00A4320F">
        <w:rPr>
          <w:rFonts w:ascii="Arial" w:hAnsi="Arial" w:cs="Arial"/>
          <w:sz w:val="20"/>
          <w:szCs w:val="20"/>
          <w:highlight w:val="yellow"/>
        </w:rPr>
        <w:softHyphen/>
        <w:t>ble</w:t>
      </w:r>
      <w:r w:rsidRPr="00B476AA">
        <w:rPr>
          <w:rFonts w:ascii="Arial" w:hAnsi="Arial" w:cs="Arial"/>
          <w:sz w:val="20"/>
          <w:szCs w:val="20"/>
        </w:rPr>
        <w:t xml:space="preserve"> routes.</w:t>
      </w:r>
    </w:p>
    <w:p w:rsidR="006B75B0" w:rsidRDefault="006B75B0" w:rsidP="006B75B0">
      <w:pPr>
        <w:rPr>
          <w:rFonts w:ascii="Arial" w:hAnsi="Arial" w:cs="Arial"/>
          <w:b/>
          <w:bCs/>
          <w:sz w:val="20"/>
          <w:szCs w:val="20"/>
        </w:rPr>
      </w:pPr>
    </w:p>
    <w:p w:rsidR="006B75B0" w:rsidRPr="00B476AA" w:rsidRDefault="006B75B0" w:rsidP="006B75B0">
      <w:pPr>
        <w:rPr>
          <w:rFonts w:ascii="Arial" w:hAnsi="Arial" w:cs="Arial"/>
          <w:b/>
          <w:bCs/>
          <w:sz w:val="20"/>
          <w:szCs w:val="20"/>
        </w:rPr>
      </w:pPr>
      <w:r w:rsidRPr="00B476AA">
        <w:rPr>
          <w:rFonts w:ascii="Arial" w:hAnsi="Arial" w:cs="Arial"/>
          <w:b/>
          <w:bCs/>
          <w:sz w:val="20"/>
          <w:szCs w:val="20"/>
        </w:rPr>
        <w:t>308 Reach Ranges</w:t>
      </w:r>
    </w:p>
    <w:p w:rsidR="006B75B0" w:rsidRDefault="006B75B0" w:rsidP="006B75B0">
      <w:pPr>
        <w:rPr>
          <w:rFonts w:ascii="Arial" w:hAnsi="Arial" w:cs="Arial"/>
          <w:b/>
          <w:bCs/>
          <w:sz w:val="20"/>
          <w:szCs w:val="20"/>
        </w:rPr>
      </w:pPr>
    </w:p>
    <w:p w:rsidR="006B75B0" w:rsidRPr="00B476AA" w:rsidRDefault="006B75B0" w:rsidP="006B75B0">
      <w:pPr>
        <w:rPr>
          <w:rFonts w:ascii="Arial" w:hAnsi="Arial" w:cs="Arial"/>
          <w:sz w:val="20"/>
          <w:szCs w:val="20"/>
        </w:rPr>
      </w:pPr>
      <w:r w:rsidRPr="00B476AA">
        <w:rPr>
          <w:rFonts w:ascii="Arial" w:hAnsi="Arial" w:cs="Arial"/>
          <w:b/>
          <w:bCs/>
          <w:sz w:val="20"/>
          <w:szCs w:val="20"/>
        </w:rPr>
        <w:t xml:space="preserve">308.1 General. </w:t>
      </w:r>
      <w:r w:rsidRPr="00B476AA">
        <w:rPr>
          <w:rFonts w:ascii="Arial" w:hAnsi="Arial" w:cs="Arial"/>
          <w:sz w:val="20"/>
          <w:szCs w:val="20"/>
        </w:rPr>
        <w:t>Reach ranges shall comply with Section 308.</w:t>
      </w:r>
    </w:p>
    <w:p w:rsidR="006B75B0" w:rsidRDefault="006B75B0" w:rsidP="006B75B0">
      <w:pPr>
        <w:rPr>
          <w:rFonts w:ascii="Arial" w:hAnsi="Arial" w:cs="Arial"/>
          <w:b/>
          <w:bCs/>
          <w:sz w:val="20"/>
          <w:szCs w:val="20"/>
        </w:rPr>
      </w:pPr>
    </w:p>
    <w:p w:rsidR="006B75B0" w:rsidRPr="00B476AA" w:rsidRDefault="006B75B0" w:rsidP="006B75B0">
      <w:pPr>
        <w:rPr>
          <w:rFonts w:ascii="Arial" w:hAnsi="Arial" w:cs="Arial"/>
          <w:b/>
          <w:bCs/>
          <w:sz w:val="20"/>
          <w:szCs w:val="20"/>
        </w:rPr>
      </w:pPr>
      <w:r w:rsidRPr="00B476AA">
        <w:rPr>
          <w:rFonts w:ascii="Arial" w:hAnsi="Arial" w:cs="Arial"/>
          <w:b/>
          <w:bCs/>
          <w:sz w:val="20"/>
          <w:szCs w:val="20"/>
        </w:rPr>
        <w:t>308.2 Forward Reach.</w:t>
      </w:r>
    </w:p>
    <w:p w:rsidR="006B75B0" w:rsidRDefault="006B75B0" w:rsidP="006B75B0">
      <w:pPr>
        <w:ind w:left="360"/>
        <w:jc w:val="both"/>
        <w:rPr>
          <w:rFonts w:ascii="Arial" w:hAnsi="Arial" w:cs="Arial"/>
          <w:b/>
          <w:bCs/>
          <w:sz w:val="20"/>
          <w:szCs w:val="20"/>
        </w:rPr>
      </w:pPr>
    </w:p>
    <w:p w:rsidR="006B75B0" w:rsidRDefault="006B75B0" w:rsidP="006B75B0">
      <w:pPr>
        <w:rPr>
          <w:rFonts w:ascii="Arial" w:hAnsi="Arial" w:cs="Arial"/>
          <w:color w:val="0070C0"/>
          <w:sz w:val="20"/>
          <w:szCs w:val="20"/>
        </w:rPr>
      </w:pPr>
      <w:r>
        <w:rPr>
          <w:rFonts w:ascii="Arial" w:hAnsi="Arial" w:cs="Arial"/>
          <w:b/>
          <w:bCs/>
          <w:sz w:val="20"/>
          <w:szCs w:val="20"/>
        </w:rPr>
        <w:t xml:space="preserve">308.2.1 Unobstructed. </w:t>
      </w:r>
      <w:r w:rsidRPr="00CB3930">
        <w:rPr>
          <w:rFonts w:ascii="Arial" w:hAnsi="Arial" w:cs="Arial"/>
          <w:b/>
          <w:bCs/>
          <w:sz w:val="20"/>
          <w:szCs w:val="20"/>
        </w:rPr>
        <w:t>W</w:t>
      </w:r>
      <w:r w:rsidRPr="00CB3930">
        <w:rPr>
          <w:rFonts w:ascii="Arial" w:hAnsi="Arial" w:cs="Arial"/>
          <w:sz w:val="20"/>
          <w:szCs w:val="20"/>
        </w:rPr>
        <w:t xml:space="preserve">here a forward reach is unobstructed, the high forward reach shall be 48 inches (1220 mm) maximum and the low forward reach shall be </w:t>
      </w:r>
      <w:r w:rsidRPr="001F07DF">
        <w:rPr>
          <w:rFonts w:ascii="Arial" w:hAnsi="Arial" w:cs="Arial"/>
          <w:color w:val="0070C0"/>
          <w:sz w:val="20"/>
          <w:szCs w:val="20"/>
        </w:rPr>
        <w:t>15 inches (380 mm)</w:t>
      </w:r>
      <w:r w:rsidRPr="00CB3930">
        <w:rPr>
          <w:rFonts w:ascii="Arial" w:hAnsi="Arial" w:cs="Arial"/>
          <w:sz w:val="20"/>
          <w:szCs w:val="20"/>
        </w:rPr>
        <w:t xml:space="preserve"> minimum above the floor</w:t>
      </w:r>
      <w:r w:rsidRPr="00CB3930">
        <w:rPr>
          <w:rFonts w:ascii="Arial" w:hAnsi="Arial" w:cs="Arial"/>
          <w:color w:val="00B050"/>
          <w:sz w:val="20"/>
          <w:szCs w:val="20"/>
        </w:rPr>
        <w:t xml:space="preserve">.   </w:t>
      </w:r>
      <w:r w:rsidRPr="001F07DF">
        <w:rPr>
          <w:rFonts w:ascii="Arial" w:hAnsi="Arial" w:cs="Arial"/>
          <w:color w:val="0070C0"/>
          <w:sz w:val="20"/>
          <w:szCs w:val="20"/>
        </w:rPr>
        <w:t>(3-20-12 PC1, PC3 through PC6) (3-6-12 PC2.1)</w:t>
      </w:r>
    </w:p>
    <w:p w:rsidR="006B75B0" w:rsidRDefault="006B75B0" w:rsidP="006B75B0">
      <w:pPr>
        <w:rPr>
          <w:rFonts w:ascii="Arial" w:hAnsi="Arial" w:cs="Arial"/>
          <w:color w:val="0070C0"/>
          <w:sz w:val="20"/>
          <w:szCs w:val="20"/>
        </w:rPr>
      </w:pPr>
    </w:p>
    <w:p w:rsidR="006B75B0" w:rsidRDefault="006B75B0" w:rsidP="006B75B0">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331720" cy="1657350"/>
            <wp:effectExtent l="0" t="0" r="0" b="0"/>
            <wp:docPr id="39" name="Picture 39" descr="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0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1720" cy="1657350"/>
                    </a:xfrm>
                    <a:prstGeom prst="rect">
                      <a:avLst/>
                    </a:prstGeom>
                    <a:noFill/>
                    <a:ln>
                      <a:noFill/>
                    </a:ln>
                  </pic:spPr>
                </pic:pic>
              </a:graphicData>
            </a:graphic>
          </wp:inline>
        </w:drawing>
      </w:r>
    </w:p>
    <w:p w:rsidR="006B75B0" w:rsidRPr="00F02ACE" w:rsidRDefault="006B75B0" w:rsidP="006B75B0">
      <w:pPr>
        <w:rPr>
          <w:rFonts w:ascii="Arial" w:hAnsi="Arial" w:cs="Arial"/>
          <w:i/>
          <w:color w:val="FF0000"/>
          <w:sz w:val="20"/>
          <w:szCs w:val="20"/>
        </w:rPr>
      </w:pPr>
      <w:r w:rsidRPr="00F02ACE">
        <w:rPr>
          <w:rFonts w:ascii="Arial" w:hAnsi="Arial" w:cs="Arial"/>
          <w:i/>
          <w:color w:val="FF0000"/>
          <w:sz w:val="20"/>
          <w:szCs w:val="20"/>
        </w:rPr>
        <w:t>Figure 308.2.1 Unobstructed forward reach</w:t>
      </w:r>
    </w:p>
    <w:p w:rsidR="006B75B0" w:rsidRPr="001F07DF" w:rsidRDefault="006B75B0" w:rsidP="006B75B0">
      <w:pPr>
        <w:ind w:left="360"/>
        <w:rPr>
          <w:rFonts w:ascii="Arial" w:hAnsi="Arial" w:cs="Arial"/>
          <w:b/>
          <w:bCs/>
          <w:strike/>
          <w:color w:val="0070C0"/>
          <w:sz w:val="20"/>
          <w:szCs w:val="20"/>
        </w:rPr>
      </w:pPr>
    </w:p>
    <w:p w:rsidR="006B75B0" w:rsidRDefault="006B75B0" w:rsidP="006B75B0">
      <w:pPr>
        <w:rPr>
          <w:rFonts w:ascii="Arial" w:hAnsi="Arial" w:cs="Arial"/>
          <w:bCs/>
          <w:color w:val="0070C0"/>
          <w:sz w:val="20"/>
          <w:szCs w:val="20"/>
        </w:rPr>
      </w:pPr>
      <w:r w:rsidRPr="00906AA6">
        <w:rPr>
          <w:rFonts w:ascii="Arial" w:hAnsi="Arial" w:cs="Arial"/>
          <w:b/>
          <w:bCs/>
          <w:sz w:val="20"/>
          <w:szCs w:val="20"/>
        </w:rPr>
        <w:t>308.2.2 Obstructed High Reach.</w:t>
      </w:r>
      <w:r w:rsidRPr="00906AA6">
        <w:rPr>
          <w:rFonts w:ascii="Arial" w:hAnsi="Arial" w:cs="Arial"/>
          <w:bCs/>
          <w:sz w:val="20"/>
          <w:szCs w:val="20"/>
        </w:rPr>
        <w:t xml:space="preserve"> </w:t>
      </w:r>
      <w:r w:rsidRPr="001F07DF">
        <w:rPr>
          <w:rFonts w:ascii="Arial" w:hAnsi="Arial" w:cs="Arial"/>
          <w:bCs/>
          <w:color w:val="0070C0"/>
          <w:sz w:val="20"/>
          <w:szCs w:val="20"/>
        </w:rPr>
        <w:t>Where a high forward reach is over an obstruction, the clear floor space complying with Section 305 and knee and toe clearance complying with Section 306 shall extend beneath the element for a distance not less than the reach depth over the obstruction. The high forward reach shall be 48 inches (1220 mm) maximum above the floor where the reach depth over the obstruction is 20 inches (510 mm) maximum. The high forward reach shall be 44 inches (1120 mm) maximum above the floor where the reach depth over the obstruction is greater than 20 inches (510 mm) and not more than 25 inches (635 mm).  (3-20-12)(3-21-12 PC2)</w:t>
      </w:r>
    </w:p>
    <w:p w:rsidR="006B75B0" w:rsidRDefault="006B75B0" w:rsidP="006B75B0">
      <w:pPr>
        <w:rPr>
          <w:rFonts w:ascii="Arial" w:hAnsi="Arial" w:cs="Arial"/>
          <w:bCs/>
          <w:color w:val="0070C0"/>
          <w:sz w:val="20"/>
          <w:szCs w:val="20"/>
        </w:rPr>
      </w:pPr>
    </w:p>
    <w:p w:rsidR="006B75B0" w:rsidRDefault="006B75B0" w:rsidP="006B75B0">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2286000" cy="1885950"/>
            <wp:effectExtent l="0" t="0" r="0" b="0"/>
            <wp:docPr id="38" name="Picture 38" descr="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0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0" cy="1885950"/>
                    </a:xfrm>
                    <a:prstGeom prst="rect">
                      <a:avLst/>
                    </a:prstGeom>
                    <a:noFill/>
                    <a:ln>
                      <a:noFill/>
                    </a:ln>
                  </pic:spPr>
                </pic:pic>
              </a:graphicData>
            </a:graphic>
          </wp:inline>
        </w:drawing>
      </w:r>
      <w:r>
        <w:rPr>
          <w:rFonts w:ascii="Arial" w:hAnsi="Arial" w:cs="Arial"/>
          <w:bCs/>
          <w:i/>
          <w:noProof/>
          <w:color w:val="FF0000"/>
          <w:sz w:val="20"/>
          <w:szCs w:val="20"/>
        </w:rPr>
        <w:drawing>
          <wp:inline distT="0" distB="0" distL="0" distR="0">
            <wp:extent cx="2251710" cy="1954530"/>
            <wp:effectExtent l="0" t="0" r="0" b="7620"/>
            <wp:docPr id="37" name="Picture 37" descr="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0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51710" cy="1954530"/>
                    </a:xfrm>
                    <a:prstGeom prst="rect">
                      <a:avLst/>
                    </a:prstGeom>
                    <a:noFill/>
                    <a:ln>
                      <a:noFill/>
                    </a:ln>
                  </pic:spPr>
                </pic:pic>
              </a:graphicData>
            </a:graphic>
          </wp:inline>
        </w:drawing>
      </w:r>
    </w:p>
    <w:p w:rsidR="006B75B0" w:rsidRPr="00F02ACE" w:rsidRDefault="006B75B0" w:rsidP="006B75B0">
      <w:pPr>
        <w:rPr>
          <w:rFonts w:ascii="Arial" w:hAnsi="Arial" w:cs="Arial"/>
          <w:bCs/>
          <w:i/>
          <w:color w:val="FF0000"/>
          <w:sz w:val="20"/>
          <w:szCs w:val="20"/>
        </w:rPr>
      </w:pPr>
      <w:r w:rsidRPr="00F02ACE">
        <w:rPr>
          <w:rFonts w:ascii="Arial" w:hAnsi="Arial" w:cs="Arial"/>
          <w:bCs/>
          <w:i/>
          <w:color w:val="FF0000"/>
          <w:sz w:val="20"/>
          <w:szCs w:val="20"/>
        </w:rPr>
        <w:t xml:space="preserve">Figure 308.2.2 (a)&amp;(b) </w:t>
      </w:r>
      <w:r w:rsidRPr="00F02ACE">
        <w:rPr>
          <w:rFonts w:ascii="Arial" w:hAnsi="Arial" w:cs="Arial"/>
          <w:i/>
          <w:color w:val="FF0000"/>
          <w:sz w:val="20"/>
          <w:szCs w:val="20"/>
        </w:rPr>
        <w:t>Obstructed high forward reach</w:t>
      </w:r>
    </w:p>
    <w:p w:rsidR="006B75B0" w:rsidRPr="00B476AA" w:rsidRDefault="006B75B0" w:rsidP="006B75B0">
      <w:pPr>
        <w:ind w:left="216"/>
        <w:jc w:val="center"/>
        <w:rPr>
          <w:rFonts w:ascii="Arial" w:hAnsi="Arial" w:cs="Arial"/>
          <w:sz w:val="20"/>
          <w:szCs w:val="20"/>
        </w:rPr>
      </w:pPr>
    </w:p>
    <w:p w:rsidR="006B75B0" w:rsidRPr="00B476AA" w:rsidRDefault="006B75B0" w:rsidP="006B75B0">
      <w:pPr>
        <w:rPr>
          <w:rFonts w:ascii="Arial" w:hAnsi="Arial" w:cs="Arial"/>
          <w:b/>
          <w:bCs/>
          <w:sz w:val="20"/>
          <w:szCs w:val="20"/>
        </w:rPr>
      </w:pPr>
      <w:r w:rsidRPr="00B476AA">
        <w:rPr>
          <w:rFonts w:ascii="Arial" w:hAnsi="Arial" w:cs="Arial"/>
          <w:b/>
          <w:bCs/>
          <w:sz w:val="20"/>
          <w:szCs w:val="20"/>
        </w:rPr>
        <w:t>308.3 Side Reach.</w:t>
      </w:r>
    </w:p>
    <w:p w:rsidR="006B75B0" w:rsidRDefault="006B75B0" w:rsidP="006B75B0">
      <w:pPr>
        <w:ind w:left="360"/>
        <w:contextualSpacing/>
        <w:jc w:val="both"/>
        <w:rPr>
          <w:rFonts w:ascii="Arial" w:hAnsi="Arial" w:cs="Arial"/>
          <w:b/>
          <w:bCs/>
          <w:sz w:val="20"/>
          <w:szCs w:val="20"/>
        </w:rPr>
      </w:pPr>
    </w:p>
    <w:p w:rsidR="006B75B0" w:rsidRDefault="006B75B0" w:rsidP="006B75B0">
      <w:pPr>
        <w:ind w:left="360"/>
        <w:contextualSpacing/>
        <w:rPr>
          <w:rFonts w:ascii="Arial" w:hAnsi="Arial" w:cs="Arial"/>
          <w:sz w:val="20"/>
          <w:szCs w:val="20"/>
        </w:rPr>
      </w:pPr>
      <w:r w:rsidRPr="00B476AA">
        <w:rPr>
          <w:rFonts w:ascii="Arial" w:hAnsi="Arial" w:cs="Arial"/>
          <w:b/>
          <w:bCs/>
          <w:sz w:val="20"/>
          <w:szCs w:val="20"/>
        </w:rPr>
        <w:t xml:space="preserve">308.3.1 Unobstructed. </w:t>
      </w:r>
      <w:r w:rsidRPr="00B476AA">
        <w:rPr>
          <w:rFonts w:ascii="Arial" w:hAnsi="Arial" w:cs="Arial"/>
          <w:sz w:val="20"/>
          <w:szCs w:val="20"/>
        </w:rPr>
        <w:t xml:space="preserve">Where a clear floor space </w:t>
      </w:r>
      <w:r w:rsidRPr="00CF4AB0">
        <w:rPr>
          <w:rFonts w:ascii="Arial" w:hAnsi="Arial" w:cs="Arial"/>
          <w:sz w:val="20"/>
          <w:szCs w:val="20"/>
        </w:rPr>
        <w:t xml:space="preserve">complying with Section 305 </w:t>
      </w:r>
      <w:r w:rsidRPr="00B476AA">
        <w:rPr>
          <w:rFonts w:ascii="Arial" w:hAnsi="Arial" w:cs="Arial"/>
          <w:sz w:val="20"/>
          <w:szCs w:val="20"/>
        </w:rPr>
        <w:t>allows a parallel approach to an element and the edge of the clear floor space is 10 inches (255 mm) maximum from the element, the high side reach shall be 48 inches (1220 mm) maximum and the low side reach shall be 15 inches (380 mm) minimum above the floor.</w:t>
      </w:r>
    </w:p>
    <w:p w:rsidR="006B75B0" w:rsidRPr="001F07DF" w:rsidRDefault="006B75B0" w:rsidP="006B75B0">
      <w:pPr>
        <w:ind w:left="360"/>
        <w:contextualSpacing/>
        <w:jc w:val="both"/>
        <w:rPr>
          <w:rFonts w:ascii="Arial" w:hAnsi="Arial" w:cs="Arial"/>
          <w:b/>
          <w:bCs/>
          <w:color w:val="0070C0"/>
          <w:sz w:val="20"/>
          <w:szCs w:val="20"/>
        </w:rPr>
      </w:pPr>
    </w:p>
    <w:p w:rsidR="006B75B0" w:rsidRPr="001F07DF" w:rsidRDefault="006B75B0" w:rsidP="006B75B0">
      <w:pPr>
        <w:ind w:firstLine="360"/>
        <w:rPr>
          <w:rFonts w:ascii="Arial" w:hAnsi="Arial" w:cs="Arial"/>
          <w:color w:val="0070C0"/>
          <w:spacing w:val="7"/>
          <w:sz w:val="20"/>
          <w:szCs w:val="20"/>
        </w:rPr>
      </w:pPr>
      <w:r w:rsidRPr="001F07DF">
        <w:rPr>
          <w:rFonts w:ascii="Arial" w:hAnsi="Arial" w:cs="Arial"/>
          <w:b/>
          <w:bCs/>
          <w:color w:val="0070C0"/>
          <w:spacing w:val="7"/>
          <w:w w:val="105"/>
          <w:sz w:val="20"/>
          <w:szCs w:val="20"/>
        </w:rPr>
        <w:t>EXCEPTIONS:</w:t>
      </w:r>
      <w:r w:rsidRPr="001F07DF">
        <w:rPr>
          <w:rFonts w:ascii="Arial" w:hAnsi="Arial" w:cs="Arial"/>
          <w:color w:val="0070C0"/>
          <w:spacing w:val="7"/>
          <w:sz w:val="20"/>
          <w:szCs w:val="20"/>
        </w:rPr>
        <w:t xml:space="preserve"> </w:t>
      </w:r>
    </w:p>
    <w:p w:rsidR="006B75B0" w:rsidRPr="001F07DF" w:rsidRDefault="006B75B0" w:rsidP="006B75B0">
      <w:pPr>
        <w:rPr>
          <w:rFonts w:ascii="Arial" w:hAnsi="Arial" w:cs="Arial"/>
          <w:color w:val="0070C0"/>
          <w:spacing w:val="7"/>
          <w:sz w:val="20"/>
          <w:szCs w:val="20"/>
        </w:rPr>
      </w:pPr>
    </w:p>
    <w:p w:rsidR="006B75B0" w:rsidRPr="00A53E32" w:rsidRDefault="006B75B0" w:rsidP="006B75B0">
      <w:pPr>
        <w:ind w:left="1080" w:hanging="360"/>
        <w:rPr>
          <w:rFonts w:ascii="Arial" w:hAnsi="Arial" w:cs="Arial"/>
          <w:sz w:val="20"/>
          <w:szCs w:val="20"/>
        </w:rPr>
      </w:pPr>
      <w:r w:rsidRPr="001F07DF">
        <w:rPr>
          <w:rFonts w:ascii="Arial" w:hAnsi="Arial" w:cs="Arial"/>
          <w:color w:val="0070C0"/>
          <w:spacing w:val="7"/>
          <w:sz w:val="20"/>
          <w:szCs w:val="20"/>
        </w:rPr>
        <w:t>1.</w:t>
      </w:r>
      <w:r w:rsidRPr="00A53E32">
        <w:rPr>
          <w:rFonts w:ascii="Arial" w:hAnsi="Arial" w:cs="Arial"/>
          <w:color w:val="009900"/>
          <w:spacing w:val="7"/>
          <w:sz w:val="20"/>
          <w:szCs w:val="20"/>
        </w:rPr>
        <w:tab/>
      </w:r>
      <w:r w:rsidRPr="00A53E32">
        <w:rPr>
          <w:rFonts w:ascii="Arial" w:hAnsi="Arial" w:cs="Arial"/>
          <w:spacing w:val="7"/>
          <w:sz w:val="20"/>
          <w:szCs w:val="20"/>
        </w:rPr>
        <w:t xml:space="preserve">Existing elements that are not </w:t>
      </w:r>
      <w:r w:rsidRPr="00A53E32">
        <w:rPr>
          <w:rFonts w:ascii="Arial" w:hAnsi="Arial" w:cs="Arial"/>
          <w:spacing w:val="-4"/>
          <w:sz w:val="20"/>
          <w:szCs w:val="20"/>
        </w:rPr>
        <w:t xml:space="preserve">altered shall be permitted at 54 inches (1370 mm) </w:t>
      </w:r>
      <w:r w:rsidRPr="00A53E32">
        <w:rPr>
          <w:rFonts w:ascii="Arial" w:hAnsi="Arial" w:cs="Arial"/>
          <w:sz w:val="20"/>
          <w:szCs w:val="20"/>
        </w:rPr>
        <w:t>maximum above the floor.</w:t>
      </w:r>
    </w:p>
    <w:p w:rsidR="006B75B0" w:rsidRPr="00A53E32" w:rsidRDefault="006B75B0" w:rsidP="006B75B0">
      <w:pPr>
        <w:ind w:left="1080" w:hanging="360"/>
        <w:rPr>
          <w:rFonts w:ascii="Arial" w:hAnsi="Arial" w:cs="Arial"/>
          <w:sz w:val="20"/>
          <w:szCs w:val="20"/>
        </w:rPr>
      </w:pPr>
    </w:p>
    <w:p w:rsidR="006B75B0" w:rsidRPr="001F07DF" w:rsidRDefault="006B75B0" w:rsidP="006B75B0">
      <w:pPr>
        <w:ind w:left="1080" w:hanging="360"/>
        <w:rPr>
          <w:rFonts w:ascii="Arial" w:hAnsi="Arial" w:cs="Arial"/>
          <w:b/>
          <w:bCs/>
          <w:color w:val="0070C0"/>
          <w:sz w:val="20"/>
          <w:szCs w:val="20"/>
        </w:rPr>
      </w:pPr>
      <w:r w:rsidRPr="001F07DF">
        <w:rPr>
          <w:rFonts w:ascii="Arial" w:hAnsi="Arial" w:cs="Arial"/>
          <w:color w:val="0070C0"/>
          <w:sz w:val="20"/>
          <w:szCs w:val="20"/>
        </w:rPr>
        <w:t xml:space="preserve">2. </w:t>
      </w:r>
      <w:r w:rsidRPr="001F07DF">
        <w:rPr>
          <w:rFonts w:ascii="Arial" w:hAnsi="Arial" w:cs="Arial"/>
          <w:color w:val="0070C0"/>
          <w:sz w:val="20"/>
          <w:szCs w:val="20"/>
        </w:rPr>
        <w:tab/>
        <w:t>Operable parts on fuel dispensers installed on an existing curbs shall be permitted at 54 inches (1370 mm) maximum above the floor.  (3-23-12)</w:t>
      </w:r>
    </w:p>
    <w:p w:rsidR="006B75B0" w:rsidRPr="001F07DF" w:rsidRDefault="006B75B0" w:rsidP="006B75B0">
      <w:pPr>
        <w:rPr>
          <w:rFonts w:ascii="Arial" w:hAnsi="Arial" w:cs="Arial"/>
          <w:color w:val="0070C0"/>
          <w:sz w:val="20"/>
          <w:szCs w:val="20"/>
        </w:rPr>
      </w:pPr>
    </w:p>
    <w:p w:rsidR="006B75B0" w:rsidRPr="005A1D67" w:rsidRDefault="006B75B0" w:rsidP="006B75B0">
      <w:pPr>
        <w:numPr>
          <w:ilvl w:val="0"/>
          <w:numId w:val="1"/>
        </w:numPr>
        <w:rPr>
          <w:rFonts w:ascii="Arial" w:hAnsi="Arial" w:cs="Arial"/>
          <w:strike/>
          <w:color w:val="FF0000"/>
          <w:sz w:val="20"/>
          <w:szCs w:val="20"/>
        </w:rPr>
      </w:pPr>
      <w:r w:rsidRPr="005A1D67">
        <w:rPr>
          <w:rFonts w:ascii="Arial" w:hAnsi="Arial" w:cs="Arial"/>
          <w:strike/>
          <w:color w:val="FF0000"/>
          <w:sz w:val="20"/>
          <w:szCs w:val="20"/>
        </w:rPr>
        <w:t xml:space="preserve">Mailboxes serving Type B dwelling units and complying with Section 1101.2 shall be permitted  an unobstructed high side reach 54 inches (1370 mm) maximum above the floor. </w:t>
      </w:r>
    </w:p>
    <w:p w:rsidR="006B75B0" w:rsidRDefault="006B75B0" w:rsidP="006B75B0">
      <w:pPr>
        <w:rPr>
          <w:rFonts w:ascii="Arial" w:hAnsi="Arial" w:cs="Arial"/>
          <w:strike/>
          <w:color w:val="FF0000"/>
          <w:sz w:val="20"/>
          <w:szCs w:val="20"/>
        </w:rPr>
      </w:pPr>
      <w:r w:rsidRPr="00973EF8">
        <w:rPr>
          <w:rFonts w:ascii="Arial" w:hAnsi="Arial" w:cs="Arial"/>
          <w:color w:val="FF0000"/>
          <w:sz w:val="20"/>
          <w:szCs w:val="20"/>
        </w:rPr>
        <w:t xml:space="preserve">                  </w:t>
      </w:r>
      <w:r w:rsidRPr="005A1D67">
        <w:rPr>
          <w:rFonts w:ascii="Arial" w:hAnsi="Arial" w:cs="Arial"/>
          <w:strike/>
          <w:color w:val="FF0000"/>
          <w:sz w:val="20"/>
          <w:szCs w:val="20"/>
        </w:rPr>
        <w:t xml:space="preserve"> (3-24-12 PC1)</w:t>
      </w:r>
      <w:r w:rsidRPr="007973CA">
        <w:rPr>
          <w:rFonts w:ascii="Arial" w:hAnsi="Arial" w:cs="Arial"/>
          <w:color w:val="FF0000"/>
          <w:sz w:val="20"/>
          <w:szCs w:val="20"/>
        </w:rPr>
        <w:t xml:space="preserve"> (7-5-16)</w:t>
      </w:r>
      <w:r w:rsidR="00973EF8">
        <w:rPr>
          <w:rFonts w:ascii="Arial" w:hAnsi="Arial" w:cs="Arial"/>
          <w:color w:val="FF0000"/>
          <w:sz w:val="20"/>
          <w:szCs w:val="20"/>
        </w:rPr>
        <w:t xml:space="preserve">  </w:t>
      </w:r>
      <w:r w:rsidR="00973EF8">
        <w:rPr>
          <w:rFonts w:ascii="Arial" w:hAnsi="Arial" w:cs="Arial"/>
          <w:color w:val="FF0000"/>
          <w:sz w:val="20"/>
        </w:rPr>
        <w:t>(ed.)</w:t>
      </w:r>
    </w:p>
    <w:p w:rsidR="006B75B0" w:rsidRPr="00A53E32" w:rsidRDefault="006B75B0" w:rsidP="006B75B0">
      <w:pPr>
        <w:ind w:left="1080" w:hanging="360"/>
        <w:rPr>
          <w:rFonts w:ascii="Arial" w:hAnsi="Arial" w:cs="Arial"/>
          <w:color w:val="00B050"/>
          <w:sz w:val="20"/>
          <w:szCs w:val="20"/>
        </w:rPr>
      </w:pPr>
    </w:p>
    <w:p w:rsidR="006B75B0" w:rsidRDefault="006B75B0" w:rsidP="006B75B0">
      <w:pPr>
        <w:rPr>
          <w:rFonts w:ascii="Arial" w:hAnsi="Arial" w:cs="Arial"/>
          <w:b/>
          <w:bCs/>
          <w:i/>
          <w:color w:val="FF0000"/>
          <w:sz w:val="20"/>
          <w:szCs w:val="20"/>
        </w:rPr>
      </w:pPr>
      <w:r>
        <w:rPr>
          <w:rFonts w:ascii="Arial" w:hAnsi="Arial" w:cs="Arial"/>
          <w:b/>
          <w:bCs/>
          <w:i/>
          <w:noProof/>
          <w:color w:val="FF0000"/>
          <w:sz w:val="20"/>
          <w:szCs w:val="20"/>
        </w:rPr>
        <w:lastRenderedPageBreak/>
        <w:drawing>
          <wp:inline distT="0" distB="0" distL="0" distR="0">
            <wp:extent cx="2217420" cy="2137410"/>
            <wp:effectExtent l="0" t="0" r="0" b="0"/>
            <wp:docPr id="36" name="Picture 36" descr="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0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7420" cy="2137410"/>
                    </a:xfrm>
                    <a:prstGeom prst="rect">
                      <a:avLst/>
                    </a:prstGeom>
                    <a:noFill/>
                    <a:ln>
                      <a:noFill/>
                    </a:ln>
                  </pic:spPr>
                </pic:pic>
              </a:graphicData>
            </a:graphic>
          </wp:inline>
        </w:drawing>
      </w:r>
    </w:p>
    <w:p w:rsidR="006B75B0" w:rsidRPr="005B633B" w:rsidRDefault="006B75B0" w:rsidP="006B75B0">
      <w:pPr>
        <w:rPr>
          <w:rFonts w:ascii="Arial" w:hAnsi="Arial" w:cs="Arial"/>
          <w:i/>
          <w:color w:val="FF0000"/>
          <w:sz w:val="20"/>
          <w:szCs w:val="20"/>
        </w:rPr>
      </w:pPr>
      <w:r w:rsidRPr="005B633B">
        <w:rPr>
          <w:rFonts w:ascii="Arial" w:hAnsi="Arial" w:cs="Arial"/>
          <w:b/>
          <w:bCs/>
          <w:i/>
          <w:color w:val="FF0000"/>
          <w:sz w:val="20"/>
          <w:szCs w:val="20"/>
        </w:rPr>
        <w:t xml:space="preserve">Figure 308.3.1 - </w:t>
      </w:r>
      <w:r w:rsidRPr="005B633B">
        <w:rPr>
          <w:rFonts w:ascii="Arial" w:hAnsi="Arial" w:cs="Arial"/>
          <w:i/>
          <w:color w:val="FF0000"/>
          <w:sz w:val="20"/>
          <w:szCs w:val="20"/>
        </w:rPr>
        <w:t>Unobstructed side reach</w:t>
      </w:r>
    </w:p>
    <w:p w:rsidR="006B75B0" w:rsidRDefault="006B75B0" w:rsidP="006B75B0">
      <w:pPr>
        <w:rPr>
          <w:rFonts w:ascii="Arial" w:hAnsi="Arial" w:cs="Arial"/>
          <w:b/>
          <w:bCs/>
          <w:sz w:val="20"/>
          <w:szCs w:val="20"/>
        </w:rPr>
      </w:pPr>
    </w:p>
    <w:p w:rsidR="006B75B0" w:rsidRPr="00B476AA" w:rsidRDefault="006B75B0" w:rsidP="006B75B0">
      <w:pPr>
        <w:rPr>
          <w:rFonts w:ascii="Arial" w:hAnsi="Arial" w:cs="Arial"/>
          <w:sz w:val="20"/>
          <w:szCs w:val="20"/>
        </w:rPr>
      </w:pPr>
      <w:r w:rsidRPr="00B476AA">
        <w:rPr>
          <w:rFonts w:ascii="Arial" w:hAnsi="Arial" w:cs="Arial"/>
          <w:b/>
          <w:bCs/>
          <w:sz w:val="20"/>
          <w:szCs w:val="20"/>
        </w:rPr>
        <w:t xml:space="preserve">308.3.2 Obstructed High Reach. </w:t>
      </w:r>
      <w:r w:rsidRPr="00B476AA">
        <w:rPr>
          <w:rFonts w:ascii="Arial" w:hAnsi="Arial" w:cs="Arial"/>
          <w:sz w:val="20"/>
          <w:szCs w:val="20"/>
        </w:rPr>
        <w:t>Where a clear floor space</w:t>
      </w:r>
      <w:r w:rsidRPr="00EB1965">
        <w:rPr>
          <w:rFonts w:ascii="Arial" w:hAnsi="Arial" w:cs="Arial"/>
          <w:sz w:val="20"/>
          <w:szCs w:val="20"/>
        </w:rPr>
        <w:t xml:space="preserve"> </w:t>
      </w:r>
      <w:r w:rsidRPr="00CF4AB0">
        <w:rPr>
          <w:rFonts w:ascii="Arial" w:hAnsi="Arial" w:cs="Arial"/>
          <w:sz w:val="20"/>
          <w:szCs w:val="20"/>
        </w:rPr>
        <w:t xml:space="preserve">complying with Section 305 </w:t>
      </w:r>
      <w:r w:rsidRPr="00B476AA">
        <w:rPr>
          <w:rFonts w:ascii="Arial" w:hAnsi="Arial" w:cs="Arial"/>
          <w:sz w:val="20"/>
          <w:szCs w:val="20"/>
        </w:rPr>
        <w:t>allows a parallel approach to an element and the hig</w:t>
      </w:r>
      <w:r>
        <w:rPr>
          <w:rFonts w:ascii="Arial" w:hAnsi="Arial" w:cs="Arial"/>
          <w:sz w:val="20"/>
          <w:szCs w:val="20"/>
        </w:rPr>
        <w:t>h side reach is over an obstruc</w:t>
      </w:r>
      <w:r w:rsidRPr="00B476AA">
        <w:rPr>
          <w:rFonts w:ascii="Arial" w:hAnsi="Arial" w:cs="Arial"/>
          <w:sz w:val="20"/>
          <w:szCs w:val="20"/>
        </w:rPr>
        <w:t xml:space="preserve">tion, the height of the obstruction shall be 34 inches (865 mm) maximum </w:t>
      </w:r>
      <w:r w:rsidRPr="00CF4AB0">
        <w:rPr>
          <w:rFonts w:ascii="Arial" w:hAnsi="Arial" w:cs="Arial"/>
          <w:sz w:val="20"/>
          <w:szCs w:val="20"/>
        </w:rPr>
        <w:t>above the floor</w:t>
      </w:r>
      <w:r w:rsidRPr="00B476AA">
        <w:rPr>
          <w:rFonts w:ascii="Arial" w:hAnsi="Arial" w:cs="Arial"/>
          <w:sz w:val="20"/>
          <w:szCs w:val="20"/>
        </w:rPr>
        <w:t xml:space="preserve"> and the depth of the obstruction shall be 24 inches (610 mm) maximum. The high side reach shall be 48 inches (1220 mm) maximum </w:t>
      </w:r>
      <w:r w:rsidRPr="00CF4AB0">
        <w:rPr>
          <w:rFonts w:ascii="Arial" w:hAnsi="Arial" w:cs="Arial"/>
          <w:sz w:val="20"/>
          <w:szCs w:val="20"/>
        </w:rPr>
        <w:t>above the floor</w:t>
      </w:r>
      <w:r w:rsidRPr="00B476AA">
        <w:rPr>
          <w:rFonts w:ascii="Arial" w:hAnsi="Arial" w:cs="Arial"/>
          <w:sz w:val="20"/>
          <w:szCs w:val="20"/>
        </w:rPr>
        <w:t xml:space="preserve"> for a reach depth of 10 inches (255 mm) maximum. Where the reach depth exceeds 10 inches (255 mm), the high side reach shall be 46 inches (1170 mm) maximum </w:t>
      </w:r>
      <w:r w:rsidRPr="00CF4AB0">
        <w:rPr>
          <w:rFonts w:ascii="Arial" w:hAnsi="Arial" w:cs="Arial"/>
          <w:sz w:val="20"/>
          <w:szCs w:val="20"/>
        </w:rPr>
        <w:t>above the floor</w:t>
      </w:r>
      <w:r w:rsidRPr="00B476AA">
        <w:rPr>
          <w:rFonts w:ascii="Arial" w:hAnsi="Arial" w:cs="Arial"/>
          <w:sz w:val="20"/>
          <w:szCs w:val="20"/>
        </w:rPr>
        <w:t xml:space="preserve"> for a reach depth of 24 inches (610 mm) maximum.</w:t>
      </w:r>
    </w:p>
    <w:p w:rsidR="006B75B0" w:rsidRPr="00B476AA" w:rsidRDefault="006B75B0" w:rsidP="006B75B0">
      <w:pPr>
        <w:pStyle w:val="paraindt1"/>
        <w:tabs>
          <w:tab w:val="right" w:pos="8640"/>
        </w:tabs>
        <w:spacing w:before="0" w:line="240" w:lineRule="auto"/>
        <w:rPr>
          <w:rFonts w:ascii="Arial" w:hAnsi="Arial" w:cs="Arial"/>
          <w:szCs w:val="24"/>
        </w:rPr>
      </w:pPr>
    </w:p>
    <w:p w:rsidR="006B75B0" w:rsidRPr="001F07DF" w:rsidRDefault="006B75B0" w:rsidP="006B75B0">
      <w:pPr>
        <w:ind w:left="360"/>
        <w:rPr>
          <w:rFonts w:ascii="Arial" w:hAnsi="Arial" w:cs="Arial"/>
          <w:b/>
          <w:strike/>
          <w:color w:val="0070C0"/>
          <w:sz w:val="20"/>
          <w:szCs w:val="20"/>
        </w:rPr>
      </w:pPr>
      <w:r w:rsidRPr="001F07DF">
        <w:rPr>
          <w:rFonts w:ascii="Arial" w:hAnsi="Arial" w:cs="Arial"/>
          <w:b/>
          <w:strike/>
          <w:color w:val="0070C0"/>
          <w:sz w:val="20"/>
          <w:szCs w:val="20"/>
        </w:rPr>
        <w:t>EXCEPTION:</w:t>
      </w:r>
      <w:r w:rsidRPr="001F07DF">
        <w:rPr>
          <w:rFonts w:ascii="Arial" w:hAnsi="Arial" w:cs="Arial"/>
          <w:b/>
          <w:bCs/>
          <w:strike/>
          <w:color w:val="0070C0"/>
          <w:sz w:val="20"/>
          <w:szCs w:val="20"/>
        </w:rPr>
        <w:t xml:space="preserve">  </w:t>
      </w:r>
      <w:r w:rsidRPr="001F07DF">
        <w:rPr>
          <w:rFonts w:ascii="Arial" w:hAnsi="Arial" w:cs="Arial"/>
          <w:strike/>
          <w:color w:val="0070C0"/>
          <w:sz w:val="20"/>
          <w:szCs w:val="20"/>
        </w:rPr>
        <w:t xml:space="preserve">At washing machines and clothes dryers, the height of the obstruction shall be permitted to be 36 inches (915 mm) maximum above the floor.  </w:t>
      </w:r>
      <w:r w:rsidRPr="001F07DF">
        <w:rPr>
          <w:rFonts w:ascii="Arial" w:hAnsi="Arial" w:cs="Arial"/>
          <w:color w:val="0070C0"/>
          <w:sz w:val="20"/>
          <w:szCs w:val="20"/>
        </w:rPr>
        <w:t>(6-69-12)</w:t>
      </w:r>
    </w:p>
    <w:p w:rsidR="006B75B0" w:rsidRPr="001F07DF" w:rsidRDefault="006B75B0" w:rsidP="006B75B0">
      <w:pPr>
        <w:ind w:left="216"/>
        <w:jc w:val="both"/>
        <w:rPr>
          <w:rFonts w:ascii="Arial" w:hAnsi="Arial" w:cs="Arial"/>
          <w:color w:val="0070C0"/>
          <w:sz w:val="20"/>
          <w:szCs w:val="20"/>
        </w:rPr>
      </w:pPr>
      <w:r>
        <w:rPr>
          <w:noProof/>
        </w:rPr>
        <w:drawing>
          <wp:anchor distT="0" distB="0" distL="114300" distR="114300" simplePos="0" relativeHeight="251658240" behindDoc="0" locked="0" layoutInCell="1" allowOverlap="1">
            <wp:simplePos x="0" y="0"/>
            <wp:positionH relativeFrom="column">
              <wp:posOffset>2361565</wp:posOffset>
            </wp:positionH>
            <wp:positionV relativeFrom="paragraph">
              <wp:posOffset>127000</wp:posOffset>
            </wp:positionV>
            <wp:extent cx="2114550" cy="2390775"/>
            <wp:effectExtent l="0" t="0" r="0" b="9525"/>
            <wp:wrapSquare wrapText="bothSides"/>
            <wp:docPr id="65" name="Picture 65" descr="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455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5B0" w:rsidRDefault="006B75B0" w:rsidP="006B75B0">
      <w:pPr>
        <w:rPr>
          <w:rFonts w:ascii="Arial" w:hAnsi="Arial" w:cs="Arial"/>
          <w:b/>
          <w:bCs/>
          <w:i/>
          <w:color w:val="FF0000"/>
          <w:sz w:val="20"/>
          <w:szCs w:val="20"/>
        </w:rPr>
      </w:pPr>
      <w:r>
        <w:rPr>
          <w:rFonts w:ascii="Arial" w:hAnsi="Arial" w:cs="Arial"/>
          <w:b/>
          <w:bCs/>
          <w:i/>
          <w:noProof/>
          <w:color w:val="FF0000"/>
          <w:sz w:val="20"/>
          <w:szCs w:val="20"/>
        </w:rPr>
        <w:drawing>
          <wp:inline distT="0" distB="0" distL="0" distR="0">
            <wp:extent cx="2125980" cy="2388870"/>
            <wp:effectExtent l="0" t="0" r="7620" b="0"/>
            <wp:docPr id="35" name="Picture 35" descr="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5980" cy="2388870"/>
                    </a:xfrm>
                    <a:prstGeom prst="rect">
                      <a:avLst/>
                    </a:prstGeom>
                    <a:noFill/>
                    <a:ln>
                      <a:noFill/>
                    </a:ln>
                  </pic:spPr>
                </pic:pic>
              </a:graphicData>
            </a:graphic>
          </wp:inline>
        </w:drawing>
      </w:r>
    </w:p>
    <w:p w:rsidR="006B75B0" w:rsidRPr="005B633B" w:rsidRDefault="006B75B0" w:rsidP="006B75B0">
      <w:pPr>
        <w:rPr>
          <w:rFonts w:ascii="Arial" w:hAnsi="Arial" w:cs="Arial"/>
          <w:b/>
          <w:bCs/>
          <w:i/>
          <w:color w:val="FF0000"/>
          <w:sz w:val="20"/>
          <w:szCs w:val="20"/>
        </w:rPr>
      </w:pPr>
      <w:r w:rsidRPr="005B633B">
        <w:rPr>
          <w:rFonts w:ascii="Arial" w:hAnsi="Arial" w:cs="Arial"/>
          <w:b/>
          <w:bCs/>
          <w:i/>
          <w:color w:val="FF0000"/>
          <w:sz w:val="20"/>
          <w:szCs w:val="20"/>
        </w:rPr>
        <w:t xml:space="preserve">Figure 308.3.2 (a)&amp;(b) - </w:t>
      </w:r>
      <w:r w:rsidRPr="005B633B">
        <w:rPr>
          <w:rFonts w:ascii="Arial" w:hAnsi="Arial" w:cs="Arial"/>
          <w:i/>
          <w:color w:val="FF0000"/>
          <w:sz w:val="20"/>
          <w:szCs w:val="20"/>
        </w:rPr>
        <w:t xml:space="preserve">Obstructed high </w:t>
      </w:r>
      <w:r>
        <w:rPr>
          <w:rFonts w:ascii="Arial" w:hAnsi="Arial" w:cs="Arial"/>
          <w:i/>
          <w:color w:val="FF0000"/>
          <w:sz w:val="20"/>
          <w:szCs w:val="20"/>
        </w:rPr>
        <w:t>side</w:t>
      </w:r>
      <w:r w:rsidRPr="005B633B">
        <w:rPr>
          <w:rFonts w:ascii="Arial" w:hAnsi="Arial" w:cs="Arial"/>
          <w:i/>
          <w:color w:val="FF0000"/>
          <w:sz w:val="20"/>
          <w:szCs w:val="20"/>
        </w:rPr>
        <w:t xml:space="preserve"> reach</w:t>
      </w:r>
    </w:p>
    <w:p w:rsidR="006B75B0" w:rsidRDefault="006B75B0" w:rsidP="006B75B0">
      <w:pPr>
        <w:rPr>
          <w:rFonts w:ascii="Arial" w:hAnsi="Arial" w:cs="Arial"/>
          <w:b/>
          <w:bCs/>
          <w:sz w:val="20"/>
          <w:szCs w:val="20"/>
        </w:rPr>
      </w:pPr>
    </w:p>
    <w:p w:rsidR="006B75B0" w:rsidRPr="00B476AA" w:rsidRDefault="006B75B0" w:rsidP="006B75B0">
      <w:pPr>
        <w:rPr>
          <w:rFonts w:ascii="Arial" w:hAnsi="Arial" w:cs="Arial"/>
          <w:b/>
          <w:bCs/>
          <w:sz w:val="20"/>
          <w:szCs w:val="20"/>
        </w:rPr>
      </w:pPr>
      <w:r w:rsidRPr="00B476AA">
        <w:rPr>
          <w:rFonts w:ascii="Arial" w:hAnsi="Arial" w:cs="Arial"/>
          <w:b/>
          <w:bCs/>
          <w:sz w:val="20"/>
          <w:szCs w:val="20"/>
        </w:rPr>
        <w:t>309 Operable Parts</w:t>
      </w:r>
    </w:p>
    <w:p w:rsidR="006B75B0" w:rsidRDefault="006B75B0" w:rsidP="006B75B0">
      <w:pPr>
        <w:rPr>
          <w:rFonts w:ascii="Arial" w:hAnsi="Arial" w:cs="Arial"/>
          <w:b/>
          <w:bCs/>
          <w:sz w:val="20"/>
          <w:szCs w:val="20"/>
        </w:rPr>
      </w:pPr>
    </w:p>
    <w:p w:rsidR="006B75B0" w:rsidRPr="00B476AA" w:rsidRDefault="006B75B0" w:rsidP="006B75B0">
      <w:pPr>
        <w:rPr>
          <w:rFonts w:ascii="Arial" w:hAnsi="Arial" w:cs="Arial"/>
          <w:sz w:val="20"/>
          <w:szCs w:val="20"/>
        </w:rPr>
      </w:pPr>
      <w:r w:rsidRPr="00B476AA">
        <w:rPr>
          <w:rFonts w:ascii="Arial" w:hAnsi="Arial" w:cs="Arial"/>
          <w:b/>
          <w:bCs/>
          <w:sz w:val="20"/>
          <w:szCs w:val="20"/>
        </w:rPr>
        <w:t xml:space="preserve">309.1 General. </w:t>
      </w:r>
      <w:r w:rsidRPr="00B476AA">
        <w:rPr>
          <w:rFonts w:ascii="Arial" w:hAnsi="Arial" w:cs="Arial"/>
          <w:sz w:val="20"/>
          <w:szCs w:val="20"/>
        </w:rPr>
        <w:t xml:space="preserve">Operable parts </w:t>
      </w:r>
      <w:r w:rsidRPr="004A2FF4">
        <w:rPr>
          <w:rFonts w:ascii="Arial" w:hAnsi="Arial" w:cs="Arial"/>
          <w:strike/>
          <w:color w:val="FF0000"/>
          <w:sz w:val="20"/>
          <w:szCs w:val="20"/>
        </w:rPr>
        <w:t xml:space="preserve">required </w:t>
      </w:r>
      <w:r w:rsidRPr="00973EF8">
        <w:rPr>
          <w:rFonts w:ascii="Arial" w:hAnsi="Arial" w:cs="Arial"/>
          <w:strike/>
          <w:color w:val="FF0000"/>
          <w:sz w:val="20"/>
          <w:szCs w:val="20"/>
        </w:rPr>
        <w:t>to be accessible</w:t>
      </w:r>
      <w:r w:rsidRPr="00973EF8">
        <w:rPr>
          <w:rFonts w:ascii="Arial" w:hAnsi="Arial" w:cs="Arial"/>
          <w:sz w:val="20"/>
          <w:szCs w:val="20"/>
        </w:rPr>
        <w:t xml:space="preserve"> shall comply with Section 309.</w:t>
      </w:r>
      <w:r w:rsidR="00973EF8">
        <w:rPr>
          <w:rFonts w:ascii="Arial" w:hAnsi="Arial" w:cs="Arial"/>
          <w:sz w:val="20"/>
        </w:rPr>
        <w:t xml:space="preserve"> </w:t>
      </w:r>
      <w:r w:rsidR="00973EF8">
        <w:rPr>
          <w:rFonts w:ascii="Arial" w:hAnsi="Arial" w:cs="Arial"/>
          <w:color w:val="FF0000"/>
          <w:sz w:val="20"/>
        </w:rPr>
        <w:t>(ed.)</w:t>
      </w:r>
    </w:p>
    <w:p w:rsidR="006B75B0" w:rsidRDefault="006B75B0" w:rsidP="006B75B0">
      <w:pPr>
        <w:ind w:left="216"/>
        <w:rPr>
          <w:rFonts w:ascii="Arial" w:hAnsi="Arial" w:cs="Arial"/>
          <w:b/>
          <w:bCs/>
          <w:sz w:val="20"/>
          <w:szCs w:val="20"/>
          <w:u w:val="single"/>
        </w:rPr>
      </w:pPr>
    </w:p>
    <w:p w:rsidR="006B75B0" w:rsidRPr="001F07DF" w:rsidRDefault="006B75B0" w:rsidP="006B75B0">
      <w:pPr>
        <w:ind w:left="216"/>
        <w:rPr>
          <w:rFonts w:ascii="Arial" w:hAnsi="Arial" w:cs="Arial"/>
          <w:b/>
          <w:bCs/>
          <w:color w:val="0070C0"/>
          <w:sz w:val="20"/>
          <w:szCs w:val="20"/>
        </w:rPr>
      </w:pPr>
      <w:r w:rsidRPr="001F07DF">
        <w:rPr>
          <w:rFonts w:ascii="Arial" w:hAnsi="Arial" w:cs="Arial"/>
          <w:b/>
          <w:bCs/>
          <w:color w:val="0070C0"/>
          <w:sz w:val="20"/>
          <w:szCs w:val="20"/>
        </w:rPr>
        <w:t>EXCEPTIONS:</w:t>
      </w:r>
    </w:p>
    <w:p w:rsidR="006B75B0" w:rsidRPr="001F07DF" w:rsidRDefault="006B75B0" w:rsidP="006B75B0">
      <w:pPr>
        <w:ind w:left="216"/>
        <w:rPr>
          <w:rFonts w:ascii="Arial" w:hAnsi="Arial" w:cs="Arial"/>
          <w:b/>
          <w:bCs/>
          <w:color w:val="0070C0"/>
          <w:sz w:val="20"/>
          <w:szCs w:val="20"/>
        </w:rPr>
      </w:pPr>
    </w:p>
    <w:p w:rsidR="006B75B0" w:rsidRPr="001F07DF" w:rsidRDefault="006B75B0" w:rsidP="006B75B0">
      <w:pPr>
        <w:ind w:left="504"/>
        <w:rPr>
          <w:rFonts w:ascii="Arial" w:hAnsi="Arial" w:cs="Arial"/>
          <w:color w:val="0070C0"/>
          <w:spacing w:val="2"/>
          <w:sz w:val="20"/>
          <w:szCs w:val="20"/>
        </w:rPr>
      </w:pPr>
      <w:r w:rsidRPr="001F07DF">
        <w:rPr>
          <w:rFonts w:ascii="Arial" w:hAnsi="Arial" w:cs="Arial"/>
          <w:color w:val="0070C0"/>
          <w:spacing w:val="2"/>
          <w:sz w:val="20"/>
          <w:szCs w:val="20"/>
        </w:rPr>
        <w:t>1.</w:t>
      </w:r>
      <w:r w:rsidRPr="001F07DF">
        <w:rPr>
          <w:rFonts w:ascii="Arial" w:hAnsi="Arial" w:cs="Arial"/>
          <w:color w:val="0070C0"/>
          <w:spacing w:val="2"/>
          <w:sz w:val="20"/>
          <w:szCs w:val="20"/>
        </w:rPr>
        <w:tab/>
        <w:t>Receptacle outlets serving a dedicated use.</w:t>
      </w:r>
    </w:p>
    <w:p w:rsidR="006B75B0" w:rsidRPr="001F07DF" w:rsidRDefault="006B75B0" w:rsidP="006B75B0">
      <w:pPr>
        <w:ind w:left="504"/>
        <w:rPr>
          <w:rFonts w:ascii="Arial" w:hAnsi="Arial" w:cs="Arial"/>
          <w:color w:val="0070C0"/>
          <w:sz w:val="20"/>
          <w:szCs w:val="20"/>
        </w:rPr>
      </w:pPr>
    </w:p>
    <w:p w:rsidR="006B75B0" w:rsidRPr="001F07DF" w:rsidRDefault="006B75B0" w:rsidP="006B75B0">
      <w:pPr>
        <w:ind w:left="504"/>
        <w:rPr>
          <w:rFonts w:ascii="Arial" w:hAnsi="Arial" w:cs="Arial"/>
          <w:color w:val="0070C0"/>
          <w:spacing w:val="12"/>
          <w:sz w:val="20"/>
          <w:szCs w:val="20"/>
        </w:rPr>
      </w:pPr>
      <w:r w:rsidRPr="001F07DF">
        <w:rPr>
          <w:rFonts w:ascii="Arial" w:hAnsi="Arial" w:cs="Arial"/>
          <w:color w:val="0070C0"/>
          <w:sz w:val="20"/>
          <w:szCs w:val="20"/>
        </w:rPr>
        <w:t>2.</w:t>
      </w:r>
      <w:r w:rsidRPr="001F07DF">
        <w:rPr>
          <w:rFonts w:ascii="Arial" w:hAnsi="Arial" w:cs="Arial"/>
          <w:color w:val="0070C0"/>
          <w:sz w:val="20"/>
          <w:szCs w:val="20"/>
        </w:rPr>
        <w:tab/>
        <w:t xml:space="preserve">Where two or more receptacle outlets are provided in a kitchen above a length of counter top that is uninterrupted by a sink or appliance, one receptacle outlet shall not be required to comply with </w:t>
      </w:r>
      <w:r w:rsidRPr="001F07DF">
        <w:rPr>
          <w:rFonts w:ascii="Arial" w:hAnsi="Arial" w:cs="Arial"/>
          <w:color w:val="0070C0"/>
          <w:sz w:val="20"/>
          <w:szCs w:val="20"/>
        </w:rPr>
        <w:lastRenderedPageBreak/>
        <w:t>Section 309.</w:t>
      </w:r>
    </w:p>
    <w:p w:rsidR="006B75B0" w:rsidRPr="004C3BC7" w:rsidRDefault="006B75B0" w:rsidP="006B75B0">
      <w:pPr>
        <w:ind w:left="504"/>
        <w:rPr>
          <w:rFonts w:ascii="Arial" w:hAnsi="Arial" w:cs="Arial"/>
          <w:color w:val="0070C0"/>
          <w:spacing w:val="12"/>
          <w:sz w:val="20"/>
          <w:szCs w:val="20"/>
        </w:rPr>
      </w:pPr>
    </w:p>
    <w:p w:rsidR="006B75B0" w:rsidRPr="004C3BC7" w:rsidRDefault="006B75B0" w:rsidP="006B75B0">
      <w:pPr>
        <w:tabs>
          <w:tab w:val="left" w:pos="720"/>
        </w:tabs>
        <w:ind w:left="792" w:hanging="360"/>
        <w:rPr>
          <w:rFonts w:ascii="Arial" w:hAnsi="Arial" w:cs="Arial"/>
          <w:color w:val="0070C0"/>
          <w:sz w:val="20"/>
          <w:szCs w:val="20"/>
        </w:rPr>
      </w:pPr>
      <w:r w:rsidRPr="004C3BC7">
        <w:rPr>
          <w:rFonts w:ascii="Arial" w:hAnsi="Arial" w:cs="Arial"/>
          <w:color w:val="0070C0"/>
          <w:sz w:val="20"/>
          <w:szCs w:val="20"/>
        </w:rPr>
        <w:t>3.   In a kitchen, where a clear floor space for a parallel approach cannot be located at a counter top in a corner between appliances, receptacle outlets over the counter top shall not be required to comply with Section 309 provided that the counter top area does not exceed 9 square feet (0.835 m</w:t>
      </w:r>
      <w:r w:rsidRPr="004C3BC7">
        <w:rPr>
          <w:rFonts w:ascii="Arial" w:hAnsi="Arial" w:cs="Arial"/>
          <w:color w:val="0070C0"/>
          <w:sz w:val="20"/>
          <w:szCs w:val="20"/>
          <w:vertAlign w:val="superscript"/>
        </w:rPr>
        <w:t>2</w:t>
      </w:r>
      <w:r w:rsidRPr="004C3BC7">
        <w:rPr>
          <w:rFonts w:ascii="Arial" w:hAnsi="Arial" w:cs="Arial"/>
          <w:color w:val="0070C0"/>
          <w:sz w:val="20"/>
          <w:szCs w:val="20"/>
        </w:rPr>
        <w:t>) maximum.  (10-8-12 PC2) (7-5-16)</w:t>
      </w:r>
    </w:p>
    <w:p w:rsidR="006B75B0" w:rsidRDefault="006B75B0" w:rsidP="006B75B0">
      <w:pPr>
        <w:ind w:left="504"/>
        <w:rPr>
          <w:rFonts w:ascii="Arial" w:hAnsi="Arial" w:cs="Arial"/>
          <w:color w:val="009900"/>
          <w:spacing w:val="12"/>
          <w:sz w:val="20"/>
          <w:szCs w:val="20"/>
        </w:rPr>
      </w:pPr>
    </w:p>
    <w:p w:rsidR="006B75B0" w:rsidRPr="001F07DF" w:rsidRDefault="00973EF8" w:rsidP="006B75B0">
      <w:pPr>
        <w:ind w:left="504"/>
        <w:rPr>
          <w:rFonts w:ascii="Arial" w:hAnsi="Arial" w:cs="Arial"/>
          <w:color w:val="0070C0"/>
          <w:spacing w:val="12"/>
          <w:sz w:val="20"/>
          <w:szCs w:val="20"/>
        </w:rPr>
      </w:pPr>
      <w:r>
        <w:rPr>
          <w:rFonts w:ascii="Arial" w:hAnsi="Arial" w:cs="Arial"/>
          <w:color w:val="0070C0"/>
          <w:spacing w:val="12"/>
          <w:sz w:val="20"/>
          <w:szCs w:val="20"/>
        </w:rPr>
        <w:t>4</w:t>
      </w:r>
      <w:r w:rsidR="006B75B0" w:rsidRPr="001F07DF">
        <w:rPr>
          <w:rFonts w:ascii="Arial" w:hAnsi="Arial" w:cs="Arial"/>
          <w:color w:val="0070C0"/>
          <w:spacing w:val="12"/>
          <w:sz w:val="20"/>
          <w:szCs w:val="20"/>
        </w:rPr>
        <w:t>.</w:t>
      </w:r>
      <w:r w:rsidR="006B75B0" w:rsidRPr="001F07DF">
        <w:rPr>
          <w:rFonts w:ascii="Arial" w:hAnsi="Arial" w:cs="Arial"/>
          <w:color w:val="0070C0"/>
          <w:spacing w:val="12"/>
          <w:sz w:val="20"/>
          <w:szCs w:val="20"/>
        </w:rPr>
        <w:tab/>
        <w:t>Floor receptacle outlets.</w:t>
      </w:r>
    </w:p>
    <w:p w:rsidR="006B75B0" w:rsidRPr="001F07DF" w:rsidRDefault="006B75B0" w:rsidP="006B75B0">
      <w:pPr>
        <w:ind w:left="504"/>
        <w:rPr>
          <w:rFonts w:ascii="Arial" w:hAnsi="Arial" w:cs="Arial"/>
          <w:color w:val="0070C0"/>
          <w:spacing w:val="20"/>
          <w:sz w:val="20"/>
          <w:szCs w:val="20"/>
        </w:rPr>
      </w:pPr>
    </w:p>
    <w:p w:rsidR="006B75B0" w:rsidRPr="001F07DF" w:rsidRDefault="00973EF8" w:rsidP="006B75B0">
      <w:pPr>
        <w:ind w:left="504"/>
        <w:rPr>
          <w:rFonts w:ascii="Arial" w:hAnsi="Arial" w:cs="Arial"/>
          <w:color w:val="0070C0"/>
          <w:spacing w:val="20"/>
          <w:sz w:val="20"/>
          <w:szCs w:val="20"/>
        </w:rPr>
      </w:pPr>
      <w:r>
        <w:rPr>
          <w:rFonts w:ascii="Arial" w:hAnsi="Arial" w:cs="Arial"/>
          <w:color w:val="0070C0"/>
          <w:spacing w:val="20"/>
          <w:sz w:val="20"/>
          <w:szCs w:val="20"/>
        </w:rPr>
        <w:t>5</w:t>
      </w:r>
      <w:r w:rsidR="006B75B0" w:rsidRPr="001F07DF">
        <w:rPr>
          <w:rFonts w:ascii="Arial" w:hAnsi="Arial" w:cs="Arial"/>
          <w:color w:val="0070C0"/>
          <w:spacing w:val="20"/>
          <w:sz w:val="20"/>
          <w:szCs w:val="20"/>
        </w:rPr>
        <w:t>.</w:t>
      </w:r>
      <w:r w:rsidR="006B75B0" w:rsidRPr="001F07DF">
        <w:rPr>
          <w:rFonts w:ascii="Arial" w:hAnsi="Arial" w:cs="Arial"/>
          <w:color w:val="0070C0"/>
          <w:spacing w:val="20"/>
          <w:sz w:val="20"/>
          <w:szCs w:val="20"/>
        </w:rPr>
        <w:tab/>
        <w:t>HVAC diffusers.</w:t>
      </w:r>
    </w:p>
    <w:p w:rsidR="006B75B0" w:rsidRPr="001F07DF" w:rsidRDefault="006B75B0" w:rsidP="006B75B0">
      <w:pPr>
        <w:ind w:left="504"/>
        <w:rPr>
          <w:rFonts w:ascii="Arial" w:hAnsi="Arial" w:cs="Arial"/>
          <w:color w:val="0070C0"/>
          <w:spacing w:val="8"/>
          <w:sz w:val="20"/>
          <w:szCs w:val="20"/>
        </w:rPr>
      </w:pPr>
    </w:p>
    <w:p w:rsidR="006B75B0" w:rsidRPr="001F07DF" w:rsidRDefault="00973EF8" w:rsidP="006B75B0">
      <w:pPr>
        <w:ind w:left="504"/>
        <w:rPr>
          <w:rFonts w:ascii="Arial" w:hAnsi="Arial" w:cs="Arial"/>
          <w:color w:val="0070C0"/>
          <w:spacing w:val="8"/>
          <w:sz w:val="20"/>
          <w:szCs w:val="20"/>
        </w:rPr>
      </w:pPr>
      <w:r>
        <w:rPr>
          <w:rFonts w:ascii="Arial" w:hAnsi="Arial" w:cs="Arial"/>
          <w:color w:val="0070C0"/>
          <w:spacing w:val="8"/>
          <w:sz w:val="20"/>
          <w:szCs w:val="20"/>
        </w:rPr>
        <w:t>6</w:t>
      </w:r>
      <w:r w:rsidR="006B75B0" w:rsidRPr="001F07DF">
        <w:rPr>
          <w:rFonts w:ascii="Arial" w:hAnsi="Arial" w:cs="Arial"/>
          <w:color w:val="0070C0"/>
          <w:spacing w:val="8"/>
          <w:sz w:val="20"/>
          <w:szCs w:val="20"/>
        </w:rPr>
        <w:t>.</w:t>
      </w:r>
      <w:r w:rsidR="006B75B0" w:rsidRPr="001F07DF">
        <w:rPr>
          <w:rFonts w:ascii="Arial" w:hAnsi="Arial" w:cs="Arial"/>
          <w:color w:val="0070C0"/>
          <w:spacing w:val="8"/>
          <w:sz w:val="20"/>
          <w:szCs w:val="20"/>
        </w:rPr>
        <w:tab/>
        <w:t>Controls mounted on ceiling fans.</w:t>
      </w:r>
    </w:p>
    <w:p w:rsidR="006B75B0" w:rsidRPr="001F07DF" w:rsidRDefault="006B75B0" w:rsidP="006B75B0">
      <w:pPr>
        <w:ind w:left="504"/>
        <w:rPr>
          <w:rFonts w:ascii="Arial" w:hAnsi="Arial" w:cs="Arial"/>
          <w:color w:val="0070C0"/>
          <w:spacing w:val="4"/>
          <w:sz w:val="20"/>
          <w:szCs w:val="20"/>
        </w:rPr>
      </w:pPr>
    </w:p>
    <w:p w:rsidR="006B75B0" w:rsidRPr="00A53E32" w:rsidRDefault="00973EF8" w:rsidP="006B75B0">
      <w:pPr>
        <w:ind w:left="504"/>
        <w:rPr>
          <w:rFonts w:ascii="Arial" w:hAnsi="Arial" w:cs="Arial"/>
          <w:color w:val="009900"/>
          <w:sz w:val="20"/>
          <w:szCs w:val="20"/>
        </w:rPr>
      </w:pPr>
      <w:r>
        <w:rPr>
          <w:rFonts w:ascii="Arial" w:hAnsi="Arial" w:cs="Arial"/>
          <w:color w:val="0070C0"/>
          <w:spacing w:val="4"/>
          <w:sz w:val="20"/>
          <w:szCs w:val="20"/>
        </w:rPr>
        <w:t>7</w:t>
      </w:r>
      <w:r w:rsidR="006B75B0" w:rsidRPr="001F07DF">
        <w:rPr>
          <w:rFonts w:ascii="Arial" w:hAnsi="Arial" w:cs="Arial"/>
          <w:color w:val="0070C0"/>
          <w:spacing w:val="4"/>
          <w:sz w:val="20"/>
          <w:szCs w:val="20"/>
        </w:rPr>
        <w:t>.</w:t>
      </w:r>
      <w:r w:rsidR="006B75B0" w:rsidRPr="001F07DF">
        <w:rPr>
          <w:rFonts w:ascii="Arial" w:hAnsi="Arial" w:cs="Arial"/>
          <w:color w:val="0070C0"/>
          <w:spacing w:val="4"/>
          <w:sz w:val="20"/>
          <w:szCs w:val="20"/>
        </w:rPr>
        <w:tab/>
        <w:t xml:space="preserve">Where redundant controls other than light </w:t>
      </w:r>
      <w:r w:rsidR="006B75B0" w:rsidRPr="001F07DF">
        <w:rPr>
          <w:rFonts w:ascii="Arial" w:hAnsi="Arial" w:cs="Arial"/>
          <w:color w:val="0070C0"/>
          <w:spacing w:val="2"/>
          <w:sz w:val="20"/>
          <w:szCs w:val="20"/>
        </w:rPr>
        <w:t xml:space="preserve">switches are provided for a single element, </w:t>
      </w:r>
      <w:r w:rsidR="006B75B0" w:rsidRPr="001F07DF">
        <w:rPr>
          <w:rFonts w:ascii="Arial" w:hAnsi="Arial" w:cs="Arial"/>
          <w:color w:val="0070C0"/>
          <w:spacing w:val="-3"/>
          <w:sz w:val="20"/>
          <w:szCs w:val="20"/>
        </w:rPr>
        <w:t xml:space="preserve">one control in each space shall not be required </w:t>
      </w:r>
      <w:r w:rsidR="006B75B0" w:rsidRPr="001F07DF">
        <w:rPr>
          <w:rFonts w:ascii="Arial" w:hAnsi="Arial" w:cs="Arial"/>
          <w:color w:val="0070C0"/>
          <w:sz w:val="20"/>
          <w:szCs w:val="20"/>
        </w:rPr>
        <w:t>to</w:t>
      </w:r>
      <w:r w:rsidR="006B75B0" w:rsidRPr="00A53E32">
        <w:rPr>
          <w:rFonts w:ascii="Arial" w:hAnsi="Arial" w:cs="Arial"/>
          <w:color w:val="009900"/>
          <w:sz w:val="20"/>
          <w:szCs w:val="20"/>
        </w:rPr>
        <w:t xml:space="preserve"> </w:t>
      </w:r>
      <w:r w:rsidR="006B75B0" w:rsidRPr="00973EF8">
        <w:rPr>
          <w:rFonts w:ascii="Arial" w:hAnsi="Arial" w:cs="Arial"/>
          <w:color w:val="FF0000"/>
          <w:sz w:val="20"/>
          <w:szCs w:val="20"/>
        </w:rPr>
        <w:t>comply with Section 309</w:t>
      </w:r>
      <w:r w:rsidR="006B75B0" w:rsidRPr="00A53E32">
        <w:rPr>
          <w:rFonts w:ascii="Arial" w:hAnsi="Arial" w:cs="Arial"/>
          <w:color w:val="009900"/>
          <w:sz w:val="20"/>
          <w:szCs w:val="20"/>
        </w:rPr>
        <w:t>.</w:t>
      </w:r>
      <w:r>
        <w:rPr>
          <w:rFonts w:ascii="Arial" w:hAnsi="Arial" w:cs="Arial"/>
          <w:color w:val="009900"/>
          <w:sz w:val="20"/>
          <w:szCs w:val="20"/>
        </w:rPr>
        <w:t xml:space="preserve"> </w:t>
      </w:r>
      <w:r>
        <w:rPr>
          <w:rFonts w:ascii="Arial" w:hAnsi="Arial" w:cs="Arial"/>
          <w:color w:val="FF0000"/>
          <w:sz w:val="20"/>
        </w:rPr>
        <w:t>(ed.)</w:t>
      </w:r>
    </w:p>
    <w:p w:rsidR="006B75B0" w:rsidRPr="00A53E32" w:rsidRDefault="006B75B0" w:rsidP="006B75B0">
      <w:pPr>
        <w:ind w:left="504"/>
        <w:rPr>
          <w:rFonts w:ascii="Arial" w:hAnsi="Arial" w:cs="Arial"/>
          <w:color w:val="009900"/>
          <w:spacing w:val="4"/>
          <w:sz w:val="20"/>
          <w:szCs w:val="20"/>
        </w:rPr>
      </w:pPr>
    </w:p>
    <w:p w:rsidR="006B75B0" w:rsidRDefault="00973EF8" w:rsidP="006B75B0">
      <w:pPr>
        <w:ind w:left="504"/>
        <w:rPr>
          <w:rFonts w:ascii="Arial" w:hAnsi="Arial" w:cs="Arial"/>
          <w:color w:val="0070C0"/>
          <w:sz w:val="20"/>
          <w:szCs w:val="20"/>
        </w:rPr>
      </w:pPr>
      <w:r>
        <w:rPr>
          <w:rFonts w:ascii="Arial" w:hAnsi="Arial" w:cs="Arial"/>
          <w:color w:val="0070C0"/>
          <w:spacing w:val="4"/>
          <w:sz w:val="20"/>
          <w:szCs w:val="20"/>
        </w:rPr>
        <w:t>8</w:t>
      </w:r>
      <w:r w:rsidR="006B75B0" w:rsidRPr="001F07DF">
        <w:rPr>
          <w:rFonts w:ascii="Arial" w:hAnsi="Arial" w:cs="Arial"/>
          <w:color w:val="0070C0"/>
          <w:spacing w:val="4"/>
          <w:sz w:val="20"/>
          <w:szCs w:val="20"/>
        </w:rPr>
        <w:t>.</w:t>
      </w:r>
      <w:r w:rsidR="006B75B0" w:rsidRPr="001F07DF">
        <w:rPr>
          <w:rFonts w:ascii="Arial" w:hAnsi="Arial" w:cs="Arial"/>
          <w:color w:val="0070C0"/>
          <w:spacing w:val="4"/>
          <w:sz w:val="20"/>
          <w:szCs w:val="20"/>
        </w:rPr>
        <w:tab/>
        <w:t>Reset buttons and shut-offs serving appli</w:t>
      </w:r>
      <w:r w:rsidR="006B75B0" w:rsidRPr="001F07DF">
        <w:rPr>
          <w:rFonts w:ascii="Arial" w:hAnsi="Arial" w:cs="Arial"/>
          <w:color w:val="0070C0"/>
          <w:sz w:val="20"/>
          <w:szCs w:val="20"/>
        </w:rPr>
        <w:t xml:space="preserve">ances, piping and plumbing fixtures.  </w:t>
      </w:r>
    </w:p>
    <w:p w:rsidR="006B75B0" w:rsidRPr="00973EF8" w:rsidRDefault="006B75B0" w:rsidP="006B75B0">
      <w:pPr>
        <w:ind w:left="504"/>
        <w:rPr>
          <w:rFonts w:ascii="Arial" w:hAnsi="Arial" w:cs="Arial"/>
          <w:color w:val="0070C0"/>
          <w:sz w:val="20"/>
          <w:szCs w:val="20"/>
        </w:rPr>
      </w:pPr>
    </w:p>
    <w:p w:rsidR="006B75B0" w:rsidRPr="00973EF8" w:rsidRDefault="00973EF8" w:rsidP="00973EF8">
      <w:pPr>
        <w:autoSpaceDE w:val="0"/>
        <w:autoSpaceDN w:val="0"/>
        <w:adjustRightInd w:val="0"/>
        <w:ind w:left="576" w:hanging="72"/>
        <w:contextualSpacing/>
        <w:rPr>
          <w:rFonts w:ascii="Arial" w:hAnsi="Arial" w:cs="Arial"/>
          <w:color w:val="0070C0"/>
          <w:sz w:val="20"/>
          <w:szCs w:val="20"/>
        </w:rPr>
      </w:pPr>
      <w:r w:rsidRPr="00973EF8">
        <w:rPr>
          <w:rFonts w:ascii="Arial" w:hAnsi="Arial"/>
          <w:color w:val="4F81BD"/>
          <w:sz w:val="20"/>
          <w:szCs w:val="20"/>
        </w:rPr>
        <w:t>9</w:t>
      </w:r>
      <w:r w:rsidR="006B75B0" w:rsidRPr="00973EF8">
        <w:rPr>
          <w:rFonts w:ascii="Arial" w:hAnsi="Arial"/>
          <w:color w:val="4F81BD"/>
          <w:sz w:val="20"/>
          <w:szCs w:val="20"/>
        </w:rPr>
        <w:t>. Electrical panelboards shall not be required to comply with Section 309.4.</w:t>
      </w:r>
      <w:r>
        <w:rPr>
          <w:rFonts w:ascii="Arial" w:hAnsi="Arial"/>
          <w:color w:val="4F81BD"/>
          <w:sz w:val="20"/>
          <w:szCs w:val="20"/>
        </w:rPr>
        <w:t xml:space="preserve">  </w:t>
      </w:r>
      <w:r w:rsidR="006B75B0" w:rsidRPr="00973EF8">
        <w:rPr>
          <w:rFonts w:ascii="Arial" w:hAnsi="Arial" w:cs="Arial"/>
          <w:color w:val="0070C0"/>
          <w:sz w:val="20"/>
          <w:szCs w:val="20"/>
        </w:rPr>
        <w:t>(3-27-12)</w:t>
      </w:r>
    </w:p>
    <w:p w:rsidR="006B75B0" w:rsidRPr="00973EF8" w:rsidRDefault="006B75B0" w:rsidP="006B75B0">
      <w:pPr>
        <w:ind w:left="504"/>
        <w:rPr>
          <w:rFonts w:ascii="Arial" w:hAnsi="Arial" w:cs="Arial"/>
          <w:color w:val="0070C0"/>
          <w:sz w:val="20"/>
          <w:szCs w:val="20"/>
        </w:rPr>
      </w:pPr>
    </w:p>
    <w:p w:rsidR="006B75B0" w:rsidRPr="00973EF8" w:rsidRDefault="00973EF8" w:rsidP="006B75B0">
      <w:pPr>
        <w:ind w:left="504"/>
        <w:rPr>
          <w:rFonts w:ascii="Arial" w:hAnsi="Arial" w:cs="Arial"/>
          <w:color w:val="0070C0"/>
          <w:sz w:val="20"/>
          <w:szCs w:val="20"/>
        </w:rPr>
      </w:pPr>
      <w:r w:rsidRPr="00973EF8">
        <w:rPr>
          <w:rFonts w:ascii="Arial" w:hAnsi="Arial" w:cs="Arial"/>
          <w:color w:val="0070C0"/>
          <w:sz w:val="20"/>
          <w:szCs w:val="20"/>
        </w:rPr>
        <w:t>10</w:t>
      </w:r>
      <w:r w:rsidR="006B75B0" w:rsidRPr="00973EF8">
        <w:rPr>
          <w:rFonts w:ascii="Arial" w:hAnsi="Arial" w:cs="Arial"/>
          <w:color w:val="0070C0"/>
          <w:sz w:val="20"/>
          <w:szCs w:val="20"/>
        </w:rPr>
        <w:t>.  Emergency aid devices, such as fire department hose connections, valve controls, gauges, police call boxes and annunciator panels shall not be required to comply with Section 309 provided that they are used only for emergencies by emergency personnel acting in their official capacity. (</w:t>
      </w:r>
      <w:r w:rsidR="006B75B0" w:rsidRPr="00973EF8">
        <w:rPr>
          <w:rFonts w:ascii="Arial" w:hAnsi="Arial" w:cs="Arial"/>
          <w:color w:val="0070C0"/>
          <w:sz w:val="20"/>
        </w:rPr>
        <w:t>5-24</w:t>
      </w:r>
      <w:r w:rsidR="006B75B0" w:rsidRPr="00973EF8">
        <w:rPr>
          <w:rFonts w:ascii="Arial" w:hAnsi="Arial" w:cs="Arial"/>
          <w:color w:val="0070C0"/>
          <w:sz w:val="20"/>
          <w:szCs w:val="20"/>
        </w:rPr>
        <w:t>-12 PC1.1)</w:t>
      </w:r>
    </w:p>
    <w:p w:rsidR="00973EF8" w:rsidRPr="00374C47" w:rsidRDefault="00973EF8" w:rsidP="006B75B0">
      <w:pPr>
        <w:ind w:left="504"/>
        <w:rPr>
          <w:rFonts w:ascii="Arial" w:hAnsi="Arial" w:cs="Arial"/>
          <w:sz w:val="20"/>
          <w:szCs w:val="20"/>
          <w:u w:val="single"/>
        </w:rPr>
      </w:pPr>
    </w:p>
    <w:p w:rsidR="006B75B0" w:rsidRDefault="006B75B0" w:rsidP="006B75B0">
      <w:pPr>
        <w:ind w:left="504"/>
        <w:rPr>
          <w:rFonts w:ascii="Arial" w:hAnsi="Arial" w:cs="Arial"/>
          <w:i/>
          <w:color w:val="FF0000"/>
          <w:sz w:val="20"/>
          <w:szCs w:val="20"/>
        </w:rPr>
      </w:pPr>
      <w:r>
        <w:rPr>
          <w:rFonts w:ascii="Arial" w:hAnsi="Arial" w:cs="Arial"/>
          <w:i/>
          <w:noProof/>
          <w:color w:val="FF0000"/>
          <w:sz w:val="20"/>
          <w:szCs w:val="20"/>
        </w:rPr>
        <w:drawing>
          <wp:inline distT="0" distB="0" distL="0" distR="0">
            <wp:extent cx="2137410" cy="3120390"/>
            <wp:effectExtent l="0" t="0" r="0" b="3810"/>
            <wp:docPr id="23" name="Picture 23" descr="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7410" cy="3120390"/>
                    </a:xfrm>
                    <a:prstGeom prst="rect">
                      <a:avLst/>
                    </a:prstGeom>
                    <a:noFill/>
                    <a:ln>
                      <a:noFill/>
                    </a:ln>
                  </pic:spPr>
                </pic:pic>
              </a:graphicData>
            </a:graphic>
          </wp:inline>
        </w:drawing>
      </w:r>
    </w:p>
    <w:p w:rsidR="006B75B0" w:rsidRPr="003B06FF" w:rsidRDefault="006B75B0" w:rsidP="006B75B0">
      <w:pPr>
        <w:ind w:left="504"/>
        <w:rPr>
          <w:rFonts w:ascii="Arial" w:hAnsi="Arial" w:cs="Arial"/>
          <w:i/>
          <w:color w:val="FF0000"/>
          <w:sz w:val="20"/>
          <w:szCs w:val="20"/>
        </w:rPr>
      </w:pPr>
    </w:p>
    <w:p w:rsidR="006B75B0" w:rsidRPr="00ED6165" w:rsidRDefault="006B75B0" w:rsidP="006B75B0">
      <w:pPr>
        <w:rPr>
          <w:rFonts w:ascii="Arial" w:hAnsi="Arial" w:cs="Arial"/>
          <w:i/>
          <w:color w:val="FF0000"/>
        </w:rPr>
      </w:pPr>
      <w:r w:rsidRPr="00ED6165">
        <w:rPr>
          <w:rFonts w:ascii="Arial" w:hAnsi="Arial" w:cs="Arial"/>
          <w:i/>
          <w:color w:val="FF0000"/>
        </w:rPr>
        <w:t xml:space="preserve">Figure </w:t>
      </w:r>
      <w:r>
        <w:rPr>
          <w:rFonts w:ascii="Arial" w:hAnsi="Arial" w:cs="Arial"/>
          <w:i/>
          <w:color w:val="FF0000"/>
        </w:rPr>
        <w:t>309.1</w:t>
      </w:r>
      <w:r w:rsidRPr="00ED6165">
        <w:rPr>
          <w:rFonts w:ascii="Arial" w:hAnsi="Arial" w:cs="Arial"/>
          <w:i/>
          <w:color w:val="FF0000"/>
        </w:rPr>
        <w:t xml:space="preserve"> - Operable parts – Exception 3</w:t>
      </w:r>
    </w:p>
    <w:p w:rsidR="006B75B0" w:rsidRPr="00D243BB" w:rsidRDefault="006B75B0" w:rsidP="006B75B0">
      <w:pPr>
        <w:rPr>
          <w:rFonts w:ascii="Arial" w:hAnsi="Arial" w:cs="Arial"/>
          <w:b/>
          <w:bCs/>
          <w:sz w:val="20"/>
          <w:szCs w:val="20"/>
        </w:rPr>
      </w:pPr>
    </w:p>
    <w:p w:rsidR="006B75B0" w:rsidRPr="006F6834" w:rsidRDefault="006B75B0" w:rsidP="006B75B0">
      <w:pPr>
        <w:rPr>
          <w:rFonts w:ascii="Arial" w:hAnsi="Arial" w:cs="Arial"/>
          <w:sz w:val="20"/>
          <w:szCs w:val="20"/>
        </w:rPr>
      </w:pPr>
      <w:r w:rsidRPr="006F6834">
        <w:rPr>
          <w:rFonts w:ascii="Arial" w:hAnsi="Arial" w:cs="Arial"/>
          <w:b/>
          <w:bCs/>
          <w:sz w:val="20"/>
          <w:szCs w:val="20"/>
        </w:rPr>
        <w:t>309.2 Clear Floor Space.</w:t>
      </w:r>
      <w:r w:rsidRPr="006F6834">
        <w:rPr>
          <w:rFonts w:ascii="Arial" w:hAnsi="Arial" w:cs="Arial"/>
          <w:bCs/>
          <w:sz w:val="20"/>
          <w:szCs w:val="20"/>
        </w:rPr>
        <w:t xml:space="preserve"> </w:t>
      </w:r>
      <w:r w:rsidRPr="006F6834">
        <w:rPr>
          <w:rFonts w:ascii="Arial" w:hAnsi="Arial" w:cs="Arial"/>
          <w:sz w:val="20"/>
          <w:szCs w:val="20"/>
        </w:rPr>
        <w:t>A clear floor space complying with Section 305 shall be provided.</w:t>
      </w:r>
    </w:p>
    <w:p w:rsidR="006B75B0" w:rsidRPr="00B476AA" w:rsidRDefault="006B75B0" w:rsidP="006B75B0"/>
    <w:p w:rsidR="006B75B0" w:rsidRPr="00B476AA" w:rsidRDefault="006B75B0" w:rsidP="006B75B0">
      <w:pPr>
        <w:jc w:val="both"/>
        <w:rPr>
          <w:rFonts w:ascii="Arial" w:hAnsi="Arial" w:cs="Arial"/>
          <w:sz w:val="20"/>
          <w:szCs w:val="20"/>
        </w:rPr>
      </w:pPr>
      <w:r w:rsidRPr="00B476AA">
        <w:rPr>
          <w:rFonts w:ascii="Arial" w:hAnsi="Arial" w:cs="Arial"/>
          <w:b/>
          <w:bCs/>
          <w:sz w:val="20"/>
          <w:szCs w:val="20"/>
        </w:rPr>
        <w:t xml:space="preserve">309.3 Height. </w:t>
      </w:r>
      <w:r w:rsidRPr="00B476AA">
        <w:rPr>
          <w:rFonts w:ascii="Arial" w:hAnsi="Arial" w:cs="Arial"/>
          <w:sz w:val="20"/>
          <w:szCs w:val="20"/>
        </w:rPr>
        <w:t>Operable parts shall be placed within one or more of the reach ranges specified in Section 308.</w:t>
      </w:r>
    </w:p>
    <w:p w:rsidR="006B75B0" w:rsidRDefault="006B75B0" w:rsidP="006B75B0">
      <w:pPr>
        <w:rPr>
          <w:rFonts w:ascii="Arial" w:hAnsi="Arial" w:cs="Arial"/>
          <w:b/>
          <w:bCs/>
          <w:sz w:val="20"/>
          <w:szCs w:val="20"/>
        </w:rPr>
      </w:pPr>
    </w:p>
    <w:p w:rsidR="006B75B0" w:rsidRPr="00B476AA" w:rsidRDefault="006B75B0" w:rsidP="006B75B0">
      <w:pPr>
        <w:rPr>
          <w:rFonts w:ascii="Arial" w:hAnsi="Arial" w:cs="Arial"/>
          <w:sz w:val="20"/>
          <w:szCs w:val="20"/>
        </w:rPr>
      </w:pPr>
      <w:r w:rsidRPr="00B476AA">
        <w:rPr>
          <w:rFonts w:ascii="Arial" w:hAnsi="Arial" w:cs="Arial"/>
          <w:b/>
          <w:bCs/>
          <w:sz w:val="20"/>
          <w:szCs w:val="20"/>
        </w:rPr>
        <w:t xml:space="preserve">309.4 Operation. </w:t>
      </w:r>
      <w:r w:rsidRPr="00B476AA">
        <w:rPr>
          <w:rFonts w:ascii="Arial" w:hAnsi="Arial" w:cs="Arial"/>
          <w:sz w:val="20"/>
          <w:szCs w:val="20"/>
        </w:rPr>
        <w:t>Operable parts shall be operable with one hand and shall not require tight grasping,</w:t>
      </w:r>
      <w:r w:rsidRPr="00B476AA">
        <w:rPr>
          <w:rFonts w:ascii="Arial" w:hAnsi="Arial" w:cs="Arial"/>
          <w:sz w:val="20"/>
          <w:szCs w:val="20"/>
        </w:rPr>
        <w:br/>
      </w:r>
      <w:r w:rsidRPr="00B476AA">
        <w:rPr>
          <w:rFonts w:ascii="Arial" w:hAnsi="Arial" w:cs="Arial"/>
          <w:sz w:val="20"/>
          <w:szCs w:val="20"/>
        </w:rPr>
        <w:lastRenderedPageBreak/>
        <w:t>pinching, or twisting of the wrist. The force required to activate operable parts shall be 5.0 pounds (22.2 N) maximum.</w:t>
      </w:r>
    </w:p>
    <w:p w:rsidR="006B75B0" w:rsidRPr="00B476AA" w:rsidRDefault="006B75B0" w:rsidP="006B75B0">
      <w:pPr>
        <w:ind w:left="360"/>
        <w:rPr>
          <w:rFonts w:ascii="Arial" w:hAnsi="Arial" w:cs="Arial"/>
          <w:b/>
          <w:bCs/>
          <w:sz w:val="20"/>
          <w:szCs w:val="20"/>
        </w:rPr>
      </w:pPr>
    </w:p>
    <w:p w:rsidR="006B75B0" w:rsidRPr="00B476AA" w:rsidRDefault="006B75B0" w:rsidP="006B75B0">
      <w:pPr>
        <w:ind w:left="360"/>
        <w:rPr>
          <w:rFonts w:ascii="Arial" w:hAnsi="Arial" w:cs="Arial"/>
          <w:sz w:val="20"/>
          <w:szCs w:val="20"/>
        </w:rPr>
      </w:pPr>
      <w:r w:rsidRPr="00B476AA">
        <w:rPr>
          <w:rFonts w:ascii="Arial" w:hAnsi="Arial" w:cs="Arial"/>
          <w:b/>
          <w:bCs/>
          <w:sz w:val="20"/>
          <w:szCs w:val="20"/>
        </w:rPr>
        <w:t xml:space="preserve">EXCEPTION: </w:t>
      </w:r>
      <w:r w:rsidRPr="00B476AA">
        <w:rPr>
          <w:rFonts w:ascii="Arial" w:hAnsi="Arial" w:cs="Arial"/>
          <w:sz w:val="20"/>
          <w:szCs w:val="20"/>
        </w:rPr>
        <w:t>Gas pump nozzles shall not be required to provide operable parts that have an</w:t>
      </w:r>
      <w:r w:rsidRPr="00B476AA">
        <w:rPr>
          <w:rFonts w:ascii="Arial" w:hAnsi="Arial" w:cs="Arial"/>
          <w:sz w:val="20"/>
          <w:szCs w:val="20"/>
        </w:rPr>
        <w:br/>
        <w:t>activating force of 5.0 pounds (22.2 N) maximum.</w:t>
      </w:r>
    </w:p>
    <w:p w:rsidR="006B75B0" w:rsidRPr="00B476AA" w:rsidRDefault="006B75B0" w:rsidP="006B75B0">
      <w:pPr>
        <w:ind w:left="216"/>
        <w:rPr>
          <w:rFonts w:ascii="Arial" w:hAnsi="Arial" w:cs="Arial"/>
          <w:sz w:val="20"/>
          <w:szCs w:val="20"/>
        </w:rPr>
      </w:pPr>
    </w:p>
    <w:p w:rsidR="00D951DF" w:rsidRDefault="00D951DF"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rsidP="006B75B0"/>
    <w:p w:rsidR="004C3BC7" w:rsidRDefault="004C3BC7">
      <w:pPr>
        <w:widowControl/>
        <w:kinsoku/>
        <w:spacing w:after="200" w:line="276" w:lineRule="auto"/>
      </w:pPr>
      <w:r>
        <w:br w:type="page"/>
      </w:r>
    </w:p>
    <w:p w:rsidR="004C3BC7" w:rsidRDefault="004C3BC7" w:rsidP="006B75B0">
      <w:bookmarkStart w:id="0" w:name="_GoBack"/>
      <w:bookmarkEnd w:id="0"/>
    </w:p>
    <w:sectPr w:rsidR="004C3BC7" w:rsidSect="004C3BC7">
      <w:headerReference w:type="default" r:id="rId41"/>
      <w:footerReference w:type="default" r:id="rId42"/>
      <w:pgSz w:w="12240" w:h="15840"/>
      <w:pgMar w:top="1440" w:right="1440" w:bottom="1440" w:left="1440" w:header="720" w:footer="720" w:gutter="0"/>
      <w:pgNumType w:start="1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BC7" w:rsidRDefault="004C3BC7" w:rsidP="004C3BC7">
      <w:r>
        <w:separator/>
      </w:r>
    </w:p>
  </w:endnote>
  <w:endnote w:type="continuationSeparator" w:id="0">
    <w:p w:rsidR="004C3BC7" w:rsidRDefault="004C3BC7" w:rsidP="004C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BC7" w:rsidRDefault="004C3BC7">
    <w:pPr>
      <w:pStyle w:val="Footer"/>
    </w:pPr>
    <w:r>
      <w:t>ICC/A117.1 – Fourth Public Review Draft – Supplement – August 25, 2016</w:t>
    </w:r>
  </w:p>
  <w:p w:rsidR="004C3BC7" w:rsidRDefault="004C3B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BC7" w:rsidRDefault="004C3BC7" w:rsidP="004C3BC7">
      <w:r>
        <w:separator/>
      </w:r>
    </w:p>
  </w:footnote>
  <w:footnote w:type="continuationSeparator" w:id="0">
    <w:p w:rsidR="004C3BC7" w:rsidRDefault="004C3BC7" w:rsidP="004C3B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339133"/>
      <w:docPartObj>
        <w:docPartGallery w:val="Page Numbers (Top of Page)"/>
        <w:docPartUnique/>
      </w:docPartObj>
    </w:sdtPr>
    <w:sdtEndPr>
      <w:rPr>
        <w:noProof/>
      </w:rPr>
    </w:sdtEndPr>
    <w:sdtContent>
      <w:p w:rsidR="004C3BC7" w:rsidRDefault="004C3BC7">
        <w:pPr>
          <w:pStyle w:val="Header"/>
          <w:jc w:val="right"/>
        </w:pPr>
        <w:r>
          <w:fldChar w:fldCharType="begin"/>
        </w:r>
        <w:r>
          <w:instrText xml:space="preserve"> PAGE   \* MERGEFORMAT </w:instrText>
        </w:r>
        <w:r>
          <w:fldChar w:fldCharType="separate"/>
        </w:r>
        <w:r>
          <w:rPr>
            <w:noProof/>
          </w:rPr>
          <w:t>28</w:t>
        </w:r>
        <w:r>
          <w:rPr>
            <w:noProof/>
          </w:rPr>
          <w:fldChar w:fldCharType="end"/>
        </w:r>
      </w:p>
    </w:sdtContent>
  </w:sdt>
  <w:p w:rsidR="004C3BC7" w:rsidRDefault="004C3B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0272D0"/>
    <w:multiLevelType w:val="hybridMultilevel"/>
    <w:tmpl w:val="0100B7EA"/>
    <w:lvl w:ilvl="0" w:tplc="182249D6">
      <w:start w:val="3"/>
      <w:numFmt w:val="decimal"/>
      <w:lvlText w:val="%1."/>
      <w:lvlJc w:val="left"/>
      <w:pPr>
        <w:ind w:left="1080" w:hanging="360"/>
      </w:pPr>
      <w:rPr>
        <w:rFonts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E47"/>
    <w:rsid w:val="0000106C"/>
    <w:rsid w:val="00002396"/>
    <w:rsid w:val="000032DD"/>
    <w:rsid w:val="000071C1"/>
    <w:rsid w:val="00010869"/>
    <w:rsid w:val="00013F7E"/>
    <w:rsid w:val="00015832"/>
    <w:rsid w:val="0001584E"/>
    <w:rsid w:val="00015C20"/>
    <w:rsid w:val="0002091A"/>
    <w:rsid w:val="000221FC"/>
    <w:rsid w:val="00022435"/>
    <w:rsid w:val="000254EE"/>
    <w:rsid w:val="00025FD3"/>
    <w:rsid w:val="0002710B"/>
    <w:rsid w:val="000278B0"/>
    <w:rsid w:val="00030334"/>
    <w:rsid w:val="00031583"/>
    <w:rsid w:val="000324B9"/>
    <w:rsid w:val="0003531B"/>
    <w:rsid w:val="000365DB"/>
    <w:rsid w:val="00037AB8"/>
    <w:rsid w:val="0004139E"/>
    <w:rsid w:val="0004561D"/>
    <w:rsid w:val="0004583B"/>
    <w:rsid w:val="0005088B"/>
    <w:rsid w:val="0005113A"/>
    <w:rsid w:val="0005144C"/>
    <w:rsid w:val="00052363"/>
    <w:rsid w:val="00052E71"/>
    <w:rsid w:val="00053793"/>
    <w:rsid w:val="00053F63"/>
    <w:rsid w:val="00054622"/>
    <w:rsid w:val="000571EF"/>
    <w:rsid w:val="00060807"/>
    <w:rsid w:val="0006086D"/>
    <w:rsid w:val="00060A5B"/>
    <w:rsid w:val="00060C4A"/>
    <w:rsid w:val="00062DF4"/>
    <w:rsid w:val="000634C6"/>
    <w:rsid w:val="0006435C"/>
    <w:rsid w:val="000648BF"/>
    <w:rsid w:val="000659C4"/>
    <w:rsid w:val="00072CFD"/>
    <w:rsid w:val="000745CB"/>
    <w:rsid w:val="00075746"/>
    <w:rsid w:val="00075F00"/>
    <w:rsid w:val="0007690F"/>
    <w:rsid w:val="00077269"/>
    <w:rsid w:val="000800F3"/>
    <w:rsid w:val="000801CD"/>
    <w:rsid w:val="000802E1"/>
    <w:rsid w:val="0008147A"/>
    <w:rsid w:val="000814A2"/>
    <w:rsid w:val="00082578"/>
    <w:rsid w:val="0009220A"/>
    <w:rsid w:val="000932A3"/>
    <w:rsid w:val="00093A9E"/>
    <w:rsid w:val="000947F1"/>
    <w:rsid w:val="00095E60"/>
    <w:rsid w:val="000A051B"/>
    <w:rsid w:val="000A131F"/>
    <w:rsid w:val="000A19BC"/>
    <w:rsid w:val="000A310F"/>
    <w:rsid w:val="000A3537"/>
    <w:rsid w:val="000A546C"/>
    <w:rsid w:val="000A7309"/>
    <w:rsid w:val="000A7EA0"/>
    <w:rsid w:val="000B4247"/>
    <w:rsid w:val="000B4F2B"/>
    <w:rsid w:val="000C0058"/>
    <w:rsid w:val="000C0867"/>
    <w:rsid w:val="000C0D11"/>
    <w:rsid w:val="000C135E"/>
    <w:rsid w:val="000C1619"/>
    <w:rsid w:val="000C1626"/>
    <w:rsid w:val="000C1BEA"/>
    <w:rsid w:val="000C1F3B"/>
    <w:rsid w:val="000C29CC"/>
    <w:rsid w:val="000C3C4C"/>
    <w:rsid w:val="000C46A8"/>
    <w:rsid w:val="000C57A7"/>
    <w:rsid w:val="000C5B39"/>
    <w:rsid w:val="000C6B4D"/>
    <w:rsid w:val="000D278D"/>
    <w:rsid w:val="000D3B15"/>
    <w:rsid w:val="000D3F99"/>
    <w:rsid w:val="000D5E81"/>
    <w:rsid w:val="000D620B"/>
    <w:rsid w:val="000D6229"/>
    <w:rsid w:val="000E2683"/>
    <w:rsid w:val="000E3A82"/>
    <w:rsid w:val="000E6802"/>
    <w:rsid w:val="000F2895"/>
    <w:rsid w:val="000F37F8"/>
    <w:rsid w:val="000F4127"/>
    <w:rsid w:val="000F6500"/>
    <w:rsid w:val="0011071A"/>
    <w:rsid w:val="0011149F"/>
    <w:rsid w:val="001135AF"/>
    <w:rsid w:val="00116331"/>
    <w:rsid w:val="00123D18"/>
    <w:rsid w:val="001259D9"/>
    <w:rsid w:val="00130CDE"/>
    <w:rsid w:val="00131010"/>
    <w:rsid w:val="00131B80"/>
    <w:rsid w:val="0013235C"/>
    <w:rsid w:val="00135FCD"/>
    <w:rsid w:val="00136646"/>
    <w:rsid w:val="001367A7"/>
    <w:rsid w:val="001418C4"/>
    <w:rsid w:val="00143043"/>
    <w:rsid w:val="00146967"/>
    <w:rsid w:val="00150943"/>
    <w:rsid w:val="00155B01"/>
    <w:rsid w:val="00156009"/>
    <w:rsid w:val="00156F58"/>
    <w:rsid w:val="00157B3A"/>
    <w:rsid w:val="001602F4"/>
    <w:rsid w:val="00161228"/>
    <w:rsid w:val="001618B5"/>
    <w:rsid w:val="00161A83"/>
    <w:rsid w:val="00164CAB"/>
    <w:rsid w:val="001660A9"/>
    <w:rsid w:val="00167166"/>
    <w:rsid w:val="001671E0"/>
    <w:rsid w:val="001678F9"/>
    <w:rsid w:val="001706A5"/>
    <w:rsid w:val="00171F1E"/>
    <w:rsid w:val="00175501"/>
    <w:rsid w:val="00176501"/>
    <w:rsid w:val="00176FC2"/>
    <w:rsid w:val="00177A44"/>
    <w:rsid w:val="001802E3"/>
    <w:rsid w:val="0018112C"/>
    <w:rsid w:val="001812C2"/>
    <w:rsid w:val="00181D0E"/>
    <w:rsid w:val="00182506"/>
    <w:rsid w:val="00182784"/>
    <w:rsid w:val="00183720"/>
    <w:rsid w:val="001910FD"/>
    <w:rsid w:val="00191612"/>
    <w:rsid w:val="00191834"/>
    <w:rsid w:val="00191864"/>
    <w:rsid w:val="00192BAC"/>
    <w:rsid w:val="00192F2C"/>
    <w:rsid w:val="00193B29"/>
    <w:rsid w:val="00197E22"/>
    <w:rsid w:val="001A1002"/>
    <w:rsid w:val="001A16A7"/>
    <w:rsid w:val="001A265E"/>
    <w:rsid w:val="001A4BB6"/>
    <w:rsid w:val="001A4D60"/>
    <w:rsid w:val="001A4FB0"/>
    <w:rsid w:val="001A6C8C"/>
    <w:rsid w:val="001A6F96"/>
    <w:rsid w:val="001B1CF6"/>
    <w:rsid w:val="001B1ED0"/>
    <w:rsid w:val="001B3861"/>
    <w:rsid w:val="001B4090"/>
    <w:rsid w:val="001B4B1D"/>
    <w:rsid w:val="001B4B60"/>
    <w:rsid w:val="001B6CA7"/>
    <w:rsid w:val="001B6DE0"/>
    <w:rsid w:val="001B6E05"/>
    <w:rsid w:val="001C0127"/>
    <w:rsid w:val="001C1629"/>
    <w:rsid w:val="001C217A"/>
    <w:rsid w:val="001C271E"/>
    <w:rsid w:val="001C4EEA"/>
    <w:rsid w:val="001C7150"/>
    <w:rsid w:val="001D15BF"/>
    <w:rsid w:val="001D2666"/>
    <w:rsid w:val="001D2F80"/>
    <w:rsid w:val="001D48C6"/>
    <w:rsid w:val="001E01FD"/>
    <w:rsid w:val="001E26AE"/>
    <w:rsid w:val="001E2726"/>
    <w:rsid w:val="001E28B0"/>
    <w:rsid w:val="001E28B9"/>
    <w:rsid w:val="001E57D0"/>
    <w:rsid w:val="001E76BD"/>
    <w:rsid w:val="001F2234"/>
    <w:rsid w:val="001F3BCF"/>
    <w:rsid w:val="001F7CE6"/>
    <w:rsid w:val="001F7EB5"/>
    <w:rsid w:val="00200D1E"/>
    <w:rsid w:val="00203DF6"/>
    <w:rsid w:val="0020647B"/>
    <w:rsid w:val="00215BD2"/>
    <w:rsid w:val="0021620B"/>
    <w:rsid w:val="00220857"/>
    <w:rsid w:val="002208D0"/>
    <w:rsid w:val="00221D7C"/>
    <w:rsid w:val="00222890"/>
    <w:rsid w:val="00222C73"/>
    <w:rsid w:val="00224681"/>
    <w:rsid w:val="00231FA7"/>
    <w:rsid w:val="002320D4"/>
    <w:rsid w:val="00232E14"/>
    <w:rsid w:val="00233222"/>
    <w:rsid w:val="00233F7B"/>
    <w:rsid w:val="002357E3"/>
    <w:rsid w:val="002358DF"/>
    <w:rsid w:val="00237F48"/>
    <w:rsid w:val="00242B47"/>
    <w:rsid w:val="002433D1"/>
    <w:rsid w:val="00246148"/>
    <w:rsid w:val="002461A6"/>
    <w:rsid w:val="00247ABF"/>
    <w:rsid w:val="00251538"/>
    <w:rsid w:val="002520F8"/>
    <w:rsid w:val="00252585"/>
    <w:rsid w:val="00253EBD"/>
    <w:rsid w:val="00254520"/>
    <w:rsid w:val="00255719"/>
    <w:rsid w:val="00255F9C"/>
    <w:rsid w:val="00256DFC"/>
    <w:rsid w:val="00257773"/>
    <w:rsid w:val="00260C53"/>
    <w:rsid w:val="00262036"/>
    <w:rsid w:val="00262B56"/>
    <w:rsid w:val="00264188"/>
    <w:rsid w:val="00264FCE"/>
    <w:rsid w:val="00267021"/>
    <w:rsid w:val="00267138"/>
    <w:rsid w:val="002674FF"/>
    <w:rsid w:val="002702B7"/>
    <w:rsid w:val="002764AB"/>
    <w:rsid w:val="00281244"/>
    <w:rsid w:val="00281B27"/>
    <w:rsid w:val="00281C75"/>
    <w:rsid w:val="002823AE"/>
    <w:rsid w:val="00282910"/>
    <w:rsid w:val="002833BB"/>
    <w:rsid w:val="00285EBA"/>
    <w:rsid w:val="00285F35"/>
    <w:rsid w:val="00292DE3"/>
    <w:rsid w:val="00293CEF"/>
    <w:rsid w:val="00295071"/>
    <w:rsid w:val="002952CA"/>
    <w:rsid w:val="002962B6"/>
    <w:rsid w:val="0029677C"/>
    <w:rsid w:val="0029690D"/>
    <w:rsid w:val="00296E33"/>
    <w:rsid w:val="002A0697"/>
    <w:rsid w:val="002A079D"/>
    <w:rsid w:val="002A39C5"/>
    <w:rsid w:val="002A668F"/>
    <w:rsid w:val="002B016A"/>
    <w:rsid w:val="002B0B82"/>
    <w:rsid w:val="002B394E"/>
    <w:rsid w:val="002B447A"/>
    <w:rsid w:val="002B589F"/>
    <w:rsid w:val="002B5A96"/>
    <w:rsid w:val="002B5B57"/>
    <w:rsid w:val="002B5FED"/>
    <w:rsid w:val="002B6C06"/>
    <w:rsid w:val="002C0805"/>
    <w:rsid w:val="002C08F4"/>
    <w:rsid w:val="002C0A87"/>
    <w:rsid w:val="002C0B7B"/>
    <w:rsid w:val="002C1F8D"/>
    <w:rsid w:val="002C2C98"/>
    <w:rsid w:val="002C3D6D"/>
    <w:rsid w:val="002C574E"/>
    <w:rsid w:val="002D0BBE"/>
    <w:rsid w:val="002D216C"/>
    <w:rsid w:val="002D6BAC"/>
    <w:rsid w:val="002D7213"/>
    <w:rsid w:val="002E00AB"/>
    <w:rsid w:val="002E0DA8"/>
    <w:rsid w:val="002E1054"/>
    <w:rsid w:val="002E397E"/>
    <w:rsid w:val="002E3C93"/>
    <w:rsid w:val="002E3D80"/>
    <w:rsid w:val="002E3FEC"/>
    <w:rsid w:val="002E4ECC"/>
    <w:rsid w:val="002E5FCE"/>
    <w:rsid w:val="002E6219"/>
    <w:rsid w:val="002E7824"/>
    <w:rsid w:val="002E7FD0"/>
    <w:rsid w:val="002F091B"/>
    <w:rsid w:val="002F189A"/>
    <w:rsid w:val="002F1A65"/>
    <w:rsid w:val="002F5661"/>
    <w:rsid w:val="002F6726"/>
    <w:rsid w:val="002F745E"/>
    <w:rsid w:val="003010DB"/>
    <w:rsid w:val="00301994"/>
    <w:rsid w:val="00301B8C"/>
    <w:rsid w:val="0030273D"/>
    <w:rsid w:val="00302758"/>
    <w:rsid w:val="00303299"/>
    <w:rsid w:val="0030507B"/>
    <w:rsid w:val="00305976"/>
    <w:rsid w:val="00305B2F"/>
    <w:rsid w:val="00305B34"/>
    <w:rsid w:val="003138D7"/>
    <w:rsid w:val="00313B82"/>
    <w:rsid w:val="0031412B"/>
    <w:rsid w:val="00314A53"/>
    <w:rsid w:val="00315599"/>
    <w:rsid w:val="00315D9A"/>
    <w:rsid w:val="00316629"/>
    <w:rsid w:val="00317093"/>
    <w:rsid w:val="00317B98"/>
    <w:rsid w:val="003220A3"/>
    <w:rsid w:val="00323238"/>
    <w:rsid w:val="00323334"/>
    <w:rsid w:val="00326CDB"/>
    <w:rsid w:val="00330614"/>
    <w:rsid w:val="00333157"/>
    <w:rsid w:val="00337825"/>
    <w:rsid w:val="0034289B"/>
    <w:rsid w:val="003434B4"/>
    <w:rsid w:val="003472EE"/>
    <w:rsid w:val="00347344"/>
    <w:rsid w:val="00347A68"/>
    <w:rsid w:val="0035035F"/>
    <w:rsid w:val="003503DD"/>
    <w:rsid w:val="00350864"/>
    <w:rsid w:val="00356464"/>
    <w:rsid w:val="00357533"/>
    <w:rsid w:val="00360D64"/>
    <w:rsid w:val="003627BB"/>
    <w:rsid w:val="00362A2C"/>
    <w:rsid w:val="003633DF"/>
    <w:rsid w:val="00363DA0"/>
    <w:rsid w:val="00363DFE"/>
    <w:rsid w:val="003656C2"/>
    <w:rsid w:val="00365759"/>
    <w:rsid w:val="003664CD"/>
    <w:rsid w:val="00373125"/>
    <w:rsid w:val="0037414A"/>
    <w:rsid w:val="00374189"/>
    <w:rsid w:val="00374CA2"/>
    <w:rsid w:val="00375E0E"/>
    <w:rsid w:val="00376418"/>
    <w:rsid w:val="00380E93"/>
    <w:rsid w:val="0038367D"/>
    <w:rsid w:val="0038697D"/>
    <w:rsid w:val="003879ED"/>
    <w:rsid w:val="0039063F"/>
    <w:rsid w:val="0039067B"/>
    <w:rsid w:val="00391BA3"/>
    <w:rsid w:val="00392C10"/>
    <w:rsid w:val="0039694A"/>
    <w:rsid w:val="00396E7D"/>
    <w:rsid w:val="003A0937"/>
    <w:rsid w:val="003A0A0A"/>
    <w:rsid w:val="003A1E34"/>
    <w:rsid w:val="003A1ECA"/>
    <w:rsid w:val="003A33E9"/>
    <w:rsid w:val="003A369C"/>
    <w:rsid w:val="003A476A"/>
    <w:rsid w:val="003A519D"/>
    <w:rsid w:val="003A53BD"/>
    <w:rsid w:val="003A6AAF"/>
    <w:rsid w:val="003A799F"/>
    <w:rsid w:val="003A7E53"/>
    <w:rsid w:val="003B3DE0"/>
    <w:rsid w:val="003B5CF1"/>
    <w:rsid w:val="003B6111"/>
    <w:rsid w:val="003B6C46"/>
    <w:rsid w:val="003B74F5"/>
    <w:rsid w:val="003B765D"/>
    <w:rsid w:val="003B7C92"/>
    <w:rsid w:val="003C14F7"/>
    <w:rsid w:val="003C1B75"/>
    <w:rsid w:val="003C2550"/>
    <w:rsid w:val="003C3FB4"/>
    <w:rsid w:val="003C5D23"/>
    <w:rsid w:val="003C7951"/>
    <w:rsid w:val="003D0232"/>
    <w:rsid w:val="003D039D"/>
    <w:rsid w:val="003D10A2"/>
    <w:rsid w:val="003D2651"/>
    <w:rsid w:val="003D2D31"/>
    <w:rsid w:val="003D3021"/>
    <w:rsid w:val="003E067F"/>
    <w:rsid w:val="003E0F05"/>
    <w:rsid w:val="003E1443"/>
    <w:rsid w:val="003E2118"/>
    <w:rsid w:val="003E3F4A"/>
    <w:rsid w:val="003E4154"/>
    <w:rsid w:val="003E4C2E"/>
    <w:rsid w:val="003E564F"/>
    <w:rsid w:val="003E5A90"/>
    <w:rsid w:val="003E7295"/>
    <w:rsid w:val="003F0D3C"/>
    <w:rsid w:val="003F4D02"/>
    <w:rsid w:val="003F6AA2"/>
    <w:rsid w:val="003F714F"/>
    <w:rsid w:val="00401656"/>
    <w:rsid w:val="00401A9D"/>
    <w:rsid w:val="00403ABE"/>
    <w:rsid w:val="004073D9"/>
    <w:rsid w:val="00407A6B"/>
    <w:rsid w:val="004129FB"/>
    <w:rsid w:val="004132C1"/>
    <w:rsid w:val="004138C3"/>
    <w:rsid w:val="00416A03"/>
    <w:rsid w:val="00416F58"/>
    <w:rsid w:val="00417DA7"/>
    <w:rsid w:val="00417E0F"/>
    <w:rsid w:val="00422063"/>
    <w:rsid w:val="00424AA8"/>
    <w:rsid w:val="00425E5A"/>
    <w:rsid w:val="004304BD"/>
    <w:rsid w:val="00430F83"/>
    <w:rsid w:val="004338C5"/>
    <w:rsid w:val="00433FF6"/>
    <w:rsid w:val="004375D1"/>
    <w:rsid w:val="0044088E"/>
    <w:rsid w:val="00442A1D"/>
    <w:rsid w:val="0044391F"/>
    <w:rsid w:val="00444CF7"/>
    <w:rsid w:val="00444D89"/>
    <w:rsid w:val="00445734"/>
    <w:rsid w:val="004476AC"/>
    <w:rsid w:val="004530F9"/>
    <w:rsid w:val="00453F89"/>
    <w:rsid w:val="004550DD"/>
    <w:rsid w:val="00461288"/>
    <w:rsid w:val="004614B3"/>
    <w:rsid w:val="004614B6"/>
    <w:rsid w:val="00462CAE"/>
    <w:rsid w:val="00463CE4"/>
    <w:rsid w:val="00464A71"/>
    <w:rsid w:val="00465375"/>
    <w:rsid w:val="00466057"/>
    <w:rsid w:val="004670E1"/>
    <w:rsid w:val="00470D8A"/>
    <w:rsid w:val="0047130F"/>
    <w:rsid w:val="004713C0"/>
    <w:rsid w:val="00472AE3"/>
    <w:rsid w:val="00472EA9"/>
    <w:rsid w:val="004733E4"/>
    <w:rsid w:val="0047451F"/>
    <w:rsid w:val="00475ED4"/>
    <w:rsid w:val="00475F25"/>
    <w:rsid w:val="004777F1"/>
    <w:rsid w:val="0048088E"/>
    <w:rsid w:val="00480A8F"/>
    <w:rsid w:val="004813B5"/>
    <w:rsid w:val="004816DC"/>
    <w:rsid w:val="0048324D"/>
    <w:rsid w:val="004832A1"/>
    <w:rsid w:val="00483565"/>
    <w:rsid w:val="00483C77"/>
    <w:rsid w:val="004856A8"/>
    <w:rsid w:val="00493EF0"/>
    <w:rsid w:val="00495945"/>
    <w:rsid w:val="004969C5"/>
    <w:rsid w:val="00496D79"/>
    <w:rsid w:val="00496F9A"/>
    <w:rsid w:val="00497378"/>
    <w:rsid w:val="004A40E0"/>
    <w:rsid w:val="004A4D2A"/>
    <w:rsid w:val="004A5924"/>
    <w:rsid w:val="004A7F99"/>
    <w:rsid w:val="004B0429"/>
    <w:rsid w:val="004B0CB2"/>
    <w:rsid w:val="004B0E8B"/>
    <w:rsid w:val="004B15AF"/>
    <w:rsid w:val="004B1684"/>
    <w:rsid w:val="004B1C2B"/>
    <w:rsid w:val="004B30CB"/>
    <w:rsid w:val="004B48FA"/>
    <w:rsid w:val="004B4CF6"/>
    <w:rsid w:val="004B5089"/>
    <w:rsid w:val="004B7EB4"/>
    <w:rsid w:val="004C16A6"/>
    <w:rsid w:val="004C1ECC"/>
    <w:rsid w:val="004C299F"/>
    <w:rsid w:val="004C397B"/>
    <w:rsid w:val="004C3BC7"/>
    <w:rsid w:val="004C504D"/>
    <w:rsid w:val="004C6F41"/>
    <w:rsid w:val="004D5359"/>
    <w:rsid w:val="004D55BB"/>
    <w:rsid w:val="004D5700"/>
    <w:rsid w:val="004D72BA"/>
    <w:rsid w:val="004D7506"/>
    <w:rsid w:val="004E0B54"/>
    <w:rsid w:val="004E4DC4"/>
    <w:rsid w:val="004E71EA"/>
    <w:rsid w:val="004F1D32"/>
    <w:rsid w:val="004F65A7"/>
    <w:rsid w:val="00500191"/>
    <w:rsid w:val="0050739F"/>
    <w:rsid w:val="005103E8"/>
    <w:rsid w:val="005108F8"/>
    <w:rsid w:val="00511C1D"/>
    <w:rsid w:val="005128DF"/>
    <w:rsid w:val="0051384E"/>
    <w:rsid w:val="00514801"/>
    <w:rsid w:val="005166FF"/>
    <w:rsid w:val="005228E5"/>
    <w:rsid w:val="00522B43"/>
    <w:rsid w:val="0052397D"/>
    <w:rsid w:val="005267CE"/>
    <w:rsid w:val="005268CA"/>
    <w:rsid w:val="005270C0"/>
    <w:rsid w:val="00527761"/>
    <w:rsid w:val="005277A4"/>
    <w:rsid w:val="00531B70"/>
    <w:rsid w:val="00532FA9"/>
    <w:rsid w:val="00535FD7"/>
    <w:rsid w:val="005405D6"/>
    <w:rsid w:val="00540F61"/>
    <w:rsid w:val="005417F6"/>
    <w:rsid w:val="0054536F"/>
    <w:rsid w:val="0054571F"/>
    <w:rsid w:val="00546841"/>
    <w:rsid w:val="0054754D"/>
    <w:rsid w:val="0055040E"/>
    <w:rsid w:val="005517BB"/>
    <w:rsid w:val="0055287A"/>
    <w:rsid w:val="005533F4"/>
    <w:rsid w:val="0055375E"/>
    <w:rsid w:val="00555912"/>
    <w:rsid w:val="00557CB6"/>
    <w:rsid w:val="0056150A"/>
    <w:rsid w:val="005616BA"/>
    <w:rsid w:val="00563124"/>
    <w:rsid w:val="0056600B"/>
    <w:rsid w:val="00567284"/>
    <w:rsid w:val="005673B9"/>
    <w:rsid w:val="0057184E"/>
    <w:rsid w:val="00572198"/>
    <w:rsid w:val="00572FE6"/>
    <w:rsid w:val="005733DF"/>
    <w:rsid w:val="00573516"/>
    <w:rsid w:val="005757DC"/>
    <w:rsid w:val="005762E0"/>
    <w:rsid w:val="00580BC2"/>
    <w:rsid w:val="0058409F"/>
    <w:rsid w:val="005840BF"/>
    <w:rsid w:val="005859B5"/>
    <w:rsid w:val="00587041"/>
    <w:rsid w:val="0058790B"/>
    <w:rsid w:val="005905CE"/>
    <w:rsid w:val="00590722"/>
    <w:rsid w:val="005911F4"/>
    <w:rsid w:val="005914F1"/>
    <w:rsid w:val="00591CBC"/>
    <w:rsid w:val="00592C2E"/>
    <w:rsid w:val="00594377"/>
    <w:rsid w:val="0059442C"/>
    <w:rsid w:val="0059539A"/>
    <w:rsid w:val="00596101"/>
    <w:rsid w:val="005A1487"/>
    <w:rsid w:val="005A15A5"/>
    <w:rsid w:val="005A1691"/>
    <w:rsid w:val="005A4E0B"/>
    <w:rsid w:val="005A6F92"/>
    <w:rsid w:val="005B13E2"/>
    <w:rsid w:val="005B5015"/>
    <w:rsid w:val="005B5147"/>
    <w:rsid w:val="005B61AE"/>
    <w:rsid w:val="005B71B8"/>
    <w:rsid w:val="005B7E9D"/>
    <w:rsid w:val="005C0E3B"/>
    <w:rsid w:val="005C4A67"/>
    <w:rsid w:val="005C62E5"/>
    <w:rsid w:val="005C7934"/>
    <w:rsid w:val="005D35B9"/>
    <w:rsid w:val="005D5B27"/>
    <w:rsid w:val="005D5DAF"/>
    <w:rsid w:val="005D7FE0"/>
    <w:rsid w:val="005E1AA8"/>
    <w:rsid w:val="005E2546"/>
    <w:rsid w:val="005E2553"/>
    <w:rsid w:val="005E2E15"/>
    <w:rsid w:val="005E4254"/>
    <w:rsid w:val="005E428C"/>
    <w:rsid w:val="005E477E"/>
    <w:rsid w:val="005E5091"/>
    <w:rsid w:val="005E5F4C"/>
    <w:rsid w:val="005E62F2"/>
    <w:rsid w:val="005F0A2D"/>
    <w:rsid w:val="005F2E08"/>
    <w:rsid w:val="005F5C83"/>
    <w:rsid w:val="005F74E8"/>
    <w:rsid w:val="005F79BC"/>
    <w:rsid w:val="00601A11"/>
    <w:rsid w:val="00601B8B"/>
    <w:rsid w:val="0060256D"/>
    <w:rsid w:val="00603CD5"/>
    <w:rsid w:val="00604290"/>
    <w:rsid w:val="0060664A"/>
    <w:rsid w:val="00606F48"/>
    <w:rsid w:val="00612111"/>
    <w:rsid w:val="00612211"/>
    <w:rsid w:val="006139A7"/>
    <w:rsid w:val="00616824"/>
    <w:rsid w:val="006216B6"/>
    <w:rsid w:val="006221D6"/>
    <w:rsid w:val="0062273B"/>
    <w:rsid w:val="00622ACD"/>
    <w:rsid w:val="00622D5A"/>
    <w:rsid w:val="0062397F"/>
    <w:rsid w:val="00623A2C"/>
    <w:rsid w:val="006240CA"/>
    <w:rsid w:val="0062497D"/>
    <w:rsid w:val="00624DFD"/>
    <w:rsid w:val="00624E93"/>
    <w:rsid w:val="00625AC0"/>
    <w:rsid w:val="00631C0B"/>
    <w:rsid w:val="006326AE"/>
    <w:rsid w:val="00633459"/>
    <w:rsid w:val="00634B28"/>
    <w:rsid w:val="00636F0E"/>
    <w:rsid w:val="00637324"/>
    <w:rsid w:val="006419E5"/>
    <w:rsid w:val="00642A8C"/>
    <w:rsid w:val="00642B10"/>
    <w:rsid w:val="006439F1"/>
    <w:rsid w:val="00644F30"/>
    <w:rsid w:val="00644F4F"/>
    <w:rsid w:val="0064537E"/>
    <w:rsid w:val="0064561A"/>
    <w:rsid w:val="00645B64"/>
    <w:rsid w:val="00646785"/>
    <w:rsid w:val="0065228D"/>
    <w:rsid w:val="00653A63"/>
    <w:rsid w:val="00654E15"/>
    <w:rsid w:val="00655473"/>
    <w:rsid w:val="006555FA"/>
    <w:rsid w:val="00656088"/>
    <w:rsid w:val="00656384"/>
    <w:rsid w:val="00660A00"/>
    <w:rsid w:val="00661ED1"/>
    <w:rsid w:val="0066532B"/>
    <w:rsid w:val="00665600"/>
    <w:rsid w:val="0066612C"/>
    <w:rsid w:val="00666501"/>
    <w:rsid w:val="00666873"/>
    <w:rsid w:val="00666AC6"/>
    <w:rsid w:val="00667DB1"/>
    <w:rsid w:val="006715EC"/>
    <w:rsid w:val="00672925"/>
    <w:rsid w:val="00673B83"/>
    <w:rsid w:val="0068096E"/>
    <w:rsid w:val="00680AC5"/>
    <w:rsid w:val="00680F21"/>
    <w:rsid w:val="006823E2"/>
    <w:rsid w:val="00691065"/>
    <w:rsid w:val="00692091"/>
    <w:rsid w:val="0069211D"/>
    <w:rsid w:val="006927E1"/>
    <w:rsid w:val="00692B99"/>
    <w:rsid w:val="00693243"/>
    <w:rsid w:val="00694F1F"/>
    <w:rsid w:val="006A2CBB"/>
    <w:rsid w:val="006A3F4F"/>
    <w:rsid w:val="006A5A34"/>
    <w:rsid w:val="006A71D6"/>
    <w:rsid w:val="006B0170"/>
    <w:rsid w:val="006B0BE5"/>
    <w:rsid w:val="006B0F85"/>
    <w:rsid w:val="006B269A"/>
    <w:rsid w:val="006B30A2"/>
    <w:rsid w:val="006B3F43"/>
    <w:rsid w:val="006B4EF7"/>
    <w:rsid w:val="006B55AB"/>
    <w:rsid w:val="006B587A"/>
    <w:rsid w:val="006B6815"/>
    <w:rsid w:val="006B6DE5"/>
    <w:rsid w:val="006B75B0"/>
    <w:rsid w:val="006B7697"/>
    <w:rsid w:val="006B7BF6"/>
    <w:rsid w:val="006B7EF6"/>
    <w:rsid w:val="006C07FD"/>
    <w:rsid w:val="006C0BAF"/>
    <w:rsid w:val="006C0CFB"/>
    <w:rsid w:val="006C0FB9"/>
    <w:rsid w:val="006C179B"/>
    <w:rsid w:val="006C18A6"/>
    <w:rsid w:val="006C200E"/>
    <w:rsid w:val="006C4040"/>
    <w:rsid w:val="006C47CE"/>
    <w:rsid w:val="006C4892"/>
    <w:rsid w:val="006C53FC"/>
    <w:rsid w:val="006C58D7"/>
    <w:rsid w:val="006C68AA"/>
    <w:rsid w:val="006C69AB"/>
    <w:rsid w:val="006C6F8D"/>
    <w:rsid w:val="006C7B3F"/>
    <w:rsid w:val="006C7C9F"/>
    <w:rsid w:val="006D1CEF"/>
    <w:rsid w:val="006D33FC"/>
    <w:rsid w:val="006D3BCA"/>
    <w:rsid w:val="006D41E5"/>
    <w:rsid w:val="006D597F"/>
    <w:rsid w:val="006D6816"/>
    <w:rsid w:val="006D6C45"/>
    <w:rsid w:val="006D75EE"/>
    <w:rsid w:val="006D7DB3"/>
    <w:rsid w:val="006E24B0"/>
    <w:rsid w:val="006E4874"/>
    <w:rsid w:val="006E5DB3"/>
    <w:rsid w:val="006E67F6"/>
    <w:rsid w:val="006E6F2C"/>
    <w:rsid w:val="006E764C"/>
    <w:rsid w:val="006F0DA8"/>
    <w:rsid w:val="006F151E"/>
    <w:rsid w:val="006F3896"/>
    <w:rsid w:val="006F6242"/>
    <w:rsid w:val="006F7F39"/>
    <w:rsid w:val="00702739"/>
    <w:rsid w:val="00704182"/>
    <w:rsid w:val="00704560"/>
    <w:rsid w:val="0070497B"/>
    <w:rsid w:val="007061C6"/>
    <w:rsid w:val="00706ABD"/>
    <w:rsid w:val="0070773E"/>
    <w:rsid w:val="00710DFF"/>
    <w:rsid w:val="007112F0"/>
    <w:rsid w:val="00711C7B"/>
    <w:rsid w:val="00713080"/>
    <w:rsid w:val="00713113"/>
    <w:rsid w:val="00713BCC"/>
    <w:rsid w:val="00715446"/>
    <w:rsid w:val="00716444"/>
    <w:rsid w:val="00716A7D"/>
    <w:rsid w:val="00721620"/>
    <w:rsid w:val="0072162C"/>
    <w:rsid w:val="00722066"/>
    <w:rsid w:val="00723B58"/>
    <w:rsid w:val="00731BE5"/>
    <w:rsid w:val="00732D71"/>
    <w:rsid w:val="00732FA1"/>
    <w:rsid w:val="007349EE"/>
    <w:rsid w:val="00740042"/>
    <w:rsid w:val="00742016"/>
    <w:rsid w:val="00742779"/>
    <w:rsid w:val="00743061"/>
    <w:rsid w:val="00746EFD"/>
    <w:rsid w:val="00747068"/>
    <w:rsid w:val="00747354"/>
    <w:rsid w:val="0075004E"/>
    <w:rsid w:val="00751C01"/>
    <w:rsid w:val="00751E52"/>
    <w:rsid w:val="00753071"/>
    <w:rsid w:val="00761D61"/>
    <w:rsid w:val="00763628"/>
    <w:rsid w:val="007641B1"/>
    <w:rsid w:val="0076723F"/>
    <w:rsid w:val="0076737D"/>
    <w:rsid w:val="007673C9"/>
    <w:rsid w:val="00767CAB"/>
    <w:rsid w:val="0077419D"/>
    <w:rsid w:val="00774643"/>
    <w:rsid w:val="007763CF"/>
    <w:rsid w:val="00777469"/>
    <w:rsid w:val="00777C23"/>
    <w:rsid w:val="0078019C"/>
    <w:rsid w:val="007802A5"/>
    <w:rsid w:val="00782900"/>
    <w:rsid w:val="00784963"/>
    <w:rsid w:val="00784B75"/>
    <w:rsid w:val="00785650"/>
    <w:rsid w:val="0078645F"/>
    <w:rsid w:val="007902B6"/>
    <w:rsid w:val="00795B3A"/>
    <w:rsid w:val="007A1F08"/>
    <w:rsid w:val="007A254E"/>
    <w:rsid w:val="007A2C79"/>
    <w:rsid w:val="007A4160"/>
    <w:rsid w:val="007A5AA6"/>
    <w:rsid w:val="007A6D29"/>
    <w:rsid w:val="007A7692"/>
    <w:rsid w:val="007A7740"/>
    <w:rsid w:val="007B0940"/>
    <w:rsid w:val="007B13EC"/>
    <w:rsid w:val="007B1A54"/>
    <w:rsid w:val="007B29CC"/>
    <w:rsid w:val="007B344D"/>
    <w:rsid w:val="007B617A"/>
    <w:rsid w:val="007C35B1"/>
    <w:rsid w:val="007C5876"/>
    <w:rsid w:val="007C5AAE"/>
    <w:rsid w:val="007C5B07"/>
    <w:rsid w:val="007C5BFC"/>
    <w:rsid w:val="007C67AF"/>
    <w:rsid w:val="007C6874"/>
    <w:rsid w:val="007C6F0C"/>
    <w:rsid w:val="007C7169"/>
    <w:rsid w:val="007C7401"/>
    <w:rsid w:val="007D26F6"/>
    <w:rsid w:val="007D29D2"/>
    <w:rsid w:val="007D3CD2"/>
    <w:rsid w:val="007D4664"/>
    <w:rsid w:val="007D4722"/>
    <w:rsid w:val="007D6866"/>
    <w:rsid w:val="007E1E6C"/>
    <w:rsid w:val="007E26C5"/>
    <w:rsid w:val="007E2B0E"/>
    <w:rsid w:val="007E321C"/>
    <w:rsid w:val="007E526D"/>
    <w:rsid w:val="007E6046"/>
    <w:rsid w:val="007E76F5"/>
    <w:rsid w:val="007F0867"/>
    <w:rsid w:val="007F10BE"/>
    <w:rsid w:val="007F1AD1"/>
    <w:rsid w:val="007F2044"/>
    <w:rsid w:val="007F2DAF"/>
    <w:rsid w:val="007F39A4"/>
    <w:rsid w:val="007F42F7"/>
    <w:rsid w:val="007F76B0"/>
    <w:rsid w:val="00801AE1"/>
    <w:rsid w:val="00801CDF"/>
    <w:rsid w:val="00803C4B"/>
    <w:rsid w:val="0080467D"/>
    <w:rsid w:val="00811AE3"/>
    <w:rsid w:val="008123DD"/>
    <w:rsid w:val="00813BDB"/>
    <w:rsid w:val="008154E8"/>
    <w:rsid w:val="00815CA8"/>
    <w:rsid w:val="00816366"/>
    <w:rsid w:val="00817084"/>
    <w:rsid w:val="0082536D"/>
    <w:rsid w:val="0082574E"/>
    <w:rsid w:val="00831113"/>
    <w:rsid w:val="00831487"/>
    <w:rsid w:val="008317FC"/>
    <w:rsid w:val="0083210C"/>
    <w:rsid w:val="008330DA"/>
    <w:rsid w:val="0083375E"/>
    <w:rsid w:val="00840529"/>
    <w:rsid w:val="00840843"/>
    <w:rsid w:val="00842D8A"/>
    <w:rsid w:val="008430EB"/>
    <w:rsid w:val="00847215"/>
    <w:rsid w:val="0084776D"/>
    <w:rsid w:val="008502FD"/>
    <w:rsid w:val="00850CD9"/>
    <w:rsid w:val="00852230"/>
    <w:rsid w:val="008523BF"/>
    <w:rsid w:val="0085383A"/>
    <w:rsid w:val="008546B7"/>
    <w:rsid w:val="00855589"/>
    <w:rsid w:val="00855CDF"/>
    <w:rsid w:val="00856735"/>
    <w:rsid w:val="00856A5A"/>
    <w:rsid w:val="008570BF"/>
    <w:rsid w:val="008575BD"/>
    <w:rsid w:val="0086481F"/>
    <w:rsid w:val="00866014"/>
    <w:rsid w:val="00866AB6"/>
    <w:rsid w:val="00866CE0"/>
    <w:rsid w:val="0086737A"/>
    <w:rsid w:val="00867ED3"/>
    <w:rsid w:val="00867F9D"/>
    <w:rsid w:val="00871E2D"/>
    <w:rsid w:val="00873BA8"/>
    <w:rsid w:val="00873BC2"/>
    <w:rsid w:val="00874E68"/>
    <w:rsid w:val="0087750D"/>
    <w:rsid w:val="00877AB7"/>
    <w:rsid w:val="00877C9E"/>
    <w:rsid w:val="008801CE"/>
    <w:rsid w:val="00881D48"/>
    <w:rsid w:val="008834C3"/>
    <w:rsid w:val="008848A4"/>
    <w:rsid w:val="00885FC1"/>
    <w:rsid w:val="00885FD5"/>
    <w:rsid w:val="00890D01"/>
    <w:rsid w:val="008925DD"/>
    <w:rsid w:val="008938D0"/>
    <w:rsid w:val="00894036"/>
    <w:rsid w:val="008949FB"/>
    <w:rsid w:val="00894CA0"/>
    <w:rsid w:val="00897521"/>
    <w:rsid w:val="008A02D6"/>
    <w:rsid w:val="008A0E3A"/>
    <w:rsid w:val="008B00AF"/>
    <w:rsid w:val="008B120D"/>
    <w:rsid w:val="008B175A"/>
    <w:rsid w:val="008B2929"/>
    <w:rsid w:val="008B2B4E"/>
    <w:rsid w:val="008C0379"/>
    <w:rsid w:val="008C1206"/>
    <w:rsid w:val="008C1761"/>
    <w:rsid w:val="008C2A53"/>
    <w:rsid w:val="008C4215"/>
    <w:rsid w:val="008C51A5"/>
    <w:rsid w:val="008C54CB"/>
    <w:rsid w:val="008C5FB7"/>
    <w:rsid w:val="008C70C0"/>
    <w:rsid w:val="008C7702"/>
    <w:rsid w:val="008D10FE"/>
    <w:rsid w:val="008D2A1D"/>
    <w:rsid w:val="008D3347"/>
    <w:rsid w:val="008D3FAD"/>
    <w:rsid w:val="008D7616"/>
    <w:rsid w:val="008D7A86"/>
    <w:rsid w:val="008E21B6"/>
    <w:rsid w:val="008E3AE5"/>
    <w:rsid w:val="008E5D40"/>
    <w:rsid w:val="008F081C"/>
    <w:rsid w:val="008F3CAF"/>
    <w:rsid w:val="008F41A2"/>
    <w:rsid w:val="00900233"/>
    <w:rsid w:val="00901C47"/>
    <w:rsid w:val="009029FB"/>
    <w:rsid w:val="00902CA4"/>
    <w:rsid w:val="00903D6B"/>
    <w:rsid w:val="009045D7"/>
    <w:rsid w:val="00905FA1"/>
    <w:rsid w:val="00907610"/>
    <w:rsid w:val="00907A2B"/>
    <w:rsid w:val="00907ADA"/>
    <w:rsid w:val="00907C29"/>
    <w:rsid w:val="00907D58"/>
    <w:rsid w:val="0091105C"/>
    <w:rsid w:val="009111CE"/>
    <w:rsid w:val="009134AB"/>
    <w:rsid w:val="00913F6E"/>
    <w:rsid w:val="0091427D"/>
    <w:rsid w:val="009152F0"/>
    <w:rsid w:val="00915802"/>
    <w:rsid w:val="00915F95"/>
    <w:rsid w:val="0092321D"/>
    <w:rsid w:val="00926719"/>
    <w:rsid w:val="00930936"/>
    <w:rsid w:val="00931088"/>
    <w:rsid w:val="0093278D"/>
    <w:rsid w:val="009337F2"/>
    <w:rsid w:val="00933AEB"/>
    <w:rsid w:val="0093423F"/>
    <w:rsid w:val="00935397"/>
    <w:rsid w:val="00935653"/>
    <w:rsid w:val="0093577A"/>
    <w:rsid w:val="009358D3"/>
    <w:rsid w:val="0093618C"/>
    <w:rsid w:val="00937C2B"/>
    <w:rsid w:val="00940174"/>
    <w:rsid w:val="009409AF"/>
    <w:rsid w:val="00940CF5"/>
    <w:rsid w:val="00940E43"/>
    <w:rsid w:val="00943A25"/>
    <w:rsid w:val="0094573F"/>
    <w:rsid w:val="00945B3D"/>
    <w:rsid w:val="0094652A"/>
    <w:rsid w:val="00946621"/>
    <w:rsid w:val="00946821"/>
    <w:rsid w:val="00946C90"/>
    <w:rsid w:val="00947294"/>
    <w:rsid w:val="00952092"/>
    <w:rsid w:val="00952979"/>
    <w:rsid w:val="00954D5A"/>
    <w:rsid w:val="00964073"/>
    <w:rsid w:val="0096570E"/>
    <w:rsid w:val="0096628B"/>
    <w:rsid w:val="00966C98"/>
    <w:rsid w:val="009674F6"/>
    <w:rsid w:val="00970962"/>
    <w:rsid w:val="00971AF3"/>
    <w:rsid w:val="0097246C"/>
    <w:rsid w:val="00973EF8"/>
    <w:rsid w:val="00975426"/>
    <w:rsid w:val="009777F2"/>
    <w:rsid w:val="00977D3E"/>
    <w:rsid w:val="00980EC4"/>
    <w:rsid w:val="00982323"/>
    <w:rsid w:val="00982D8D"/>
    <w:rsid w:val="00982E61"/>
    <w:rsid w:val="00984A3B"/>
    <w:rsid w:val="00984A47"/>
    <w:rsid w:val="00984DA0"/>
    <w:rsid w:val="009856D4"/>
    <w:rsid w:val="009858BE"/>
    <w:rsid w:val="00985E3A"/>
    <w:rsid w:val="00985E48"/>
    <w:rsid w:val="009865BE"/>
    <w:rsid w:val="00990104"/>
    <w:rsid w:val="00990905"/>
    <w:rsid w:val="00992D2F"/>
    <w:rsid w:val="009968E8"/>
    <w:rsid w:val="00996A1D"/>
    <w:rsid w:val="009A065C"/>
    <w:rsid w:val="009A0C5A"/>
    <w:rsid w:val="009A123D"/>
    <w:rsid w:val="009A36D9"/>
    <w:rsid w:val="009A550E"/>
    <w:rsid w:val="009A5A73"/>
    <w:rsid w:val="009A63B1"/>
    <w:rsid w:val="009A77ED"/>
    <w:rsid w:val="009B14D9"/>
    <w:rsid w:val="009B3139"/>
    <w:rsid w:val="009B3356"/>
    <w:rsid w:val="009B449E"/>
    <w:rsid w:val="009B4D08"/>
    <w:rsid w:val="009B5FE6"/>
    <w:rsid w:val="009B68CE"/>
    <w:rsid w:val="009C234A"/>
    <w:rsid w:val="009C29FC"/>
    <w:rsid w:val="009C3EFE"/>
    <w:rsid w:val="009C5A00"/>
    <w:rsid w:val="009C636A"/>
    <w:rsid w:val="009D19CE"/>
    <w:rsid w:val="009D505B"/>
    <w:rsid w:val="009D62F8"/>
    <w:rsid w:val="009D651A"/>
    <w:rsid w:val="009D6901"/>
    <w:rsid w:val="009D7D2A"/>
    <w:rsid w:val="009E358F"/>
    <w:rsid w:val="009E5100"/>
    <w:rsid w:val="009E77EA"/>
    <w:rsid w:val="009F12DD"/>
    <w:rsid w:val="009F24DB"/>
    <w:rsid w:val="009F3068"/>
    <w:rsid w:val="009F34CC"/>
    <w:rsid w:val="009F48A3"/>
    <w:rsid w:val="009F6C71"/>
    <w:rsid w:val="00A00151"/>
    <w:rsid w:val="00A01ADC"/>
    <w:rsid w:val="00A01AE5"/>
    <w:rsid w:val="00A027E9"/>
    <w:rsid w:val="00A032F7"/>
    <w:rsid w:val="00A03FDA"/>
    <w:rsid w:val="00A045B2"/>
    <w:rsid w:val="00A04FF9"/>
    <w:rsid w:val="00A06080"/>
    <w:rsid w:val="00A06C42"/>
    <w:rsid w:val="00A07626"/>
    <w:rsid w:val="00A11A98"/>
    <w:rsid w:val="00A11B5B"/>
    <w:rsid w:val="00A11BE6"/>
    <w:rsid w:val="00A17963"/>
    <w:rsid w:val="00A179DC"/>
    <w:rsid w:val="00A201DB"/>
    <w:rsid w:val="00A20D3B"/>
    <w:rsid w:val="00A21279"/>
    <w:rsid w:val="00A23B06"/>
    <w:rsid w:val="00A24D27"/>
    <w:rsid w:val="00A25B85"/>
    <w:rsid w:val="00A30039"/>
    <w:rsid w:val="00A303FB"/>
    <w:rsid w:val="00A30827"/>
    <w:rsid w:val="00A309E6"/>
    <w:rsid w:val="00A314E3"/>
    <w:rsid w:val="00A35700"/>
    <w:rsid w:val="00A36789"/>
    <w:rsid w:val="00A400C0"/>
    <w:rsid w:val="00A40851"/>
    <w:rsid w:val="00A4123F"/>
    <w:rsid w:val="00A41A75"/>
    <w:rsid w:val="00A440D9"/>
    <w:rsid w:val="00A44DA6"/>
    <w:rsid w:val="00A458FE"/>
    <w:rsid w:val="00A46170"/>
    <w:rsid w:val="00A47C2E"/>
    <w:rsid w:val="00A47C63"/>
    <w:rsid w:val="00A50F00"/>
    <w:rsid w:val="00A5104A"/>
    <w:rsid w:val="00A52373"/>
    <w:rsid w:val="00A53277"/>
    <w:rsid w:val="00A533FE"/>
    <w:rsid w:val="00A53683"/>
    <w:rsid w:val="00A546AB"/>
    <w:rsid w:val="00A54C1A"/>
    <w:rsid w:val="00A54F87"/>
    <w:rsid w:val="00A557E3"/>
    <w:rsid w:val="00A576C7"/>
    <w:rsid w:val="00A61842"/>
    <w:rsid w:val="00A62EBD"/>
    <w:rsid w:val="00A6446C"/>
    <w:rsid w:val="00A654D0"/>
    <w:rsid w:val="00A67304"/>
    <w:rsid w:val="00A710EF"/>
    <w:rsid w:val="00A7378A"/>
    <w:rsid w:val="00A74FD4"/>
    <w:rsid w:val="00A81318"/>
    <w:rsid w:val="00A81368"/>
    <w:rsid w:val="00A83786"/>
    <w:rsid w:val="00A83D60"/>
    <w:rsid w:val="00A83E90"/>
    <w:rsid w:val="00A901A7"/>
    <w:rsid w:val="00A905F6"/>
    <w:rsid w:val="00A9062F"/>
    <w:rsid w:val="00A92C50"/>
    <w:rsid w:val="00AA00FA"/>
    <w:rsid w:val="00AA0B18"/>
    <w:rsid w:val="00AA2CD2"/>
    <w:rsid w:val="00AA39C9"/>
    <w:rsid w:val="00AA4366"/>
    <w:rsid w:val="00AA49B3"/>
    <w:rsid w:val="00AA4B6D"/>
    <w:rsid w:val="00AA5DD2"/>
    <w:rsid w:val="00AA649F"/>
    <w:rsid w:val="00AA6A84"/>
    <w:rsid w:val="00AA7953"/>
    <w:rsid w:val="00AB0382"/>
    <w:rsid w:val="00AB1F34"/>
    <w:rsid w:val="00AB2203"/>
    <w:rsid w:val="00AB240E"/>
    <w:rsid w:val="00AB2610"/>
    <w:rsid w:val="00AB48C8"/>
    <w:rsid w:val="00AB6063"/>
    <w:rsid w:val="00AB647F"/>
    <w:rsid w:val="00AB7173"/>
    <w:rsid w:val="00AB7562"/>
    <w:rsid w:val="00AB7605"/>
    <w:rsid w:val="00AC03F9"/>
    <w:rsid w:val="00AC07E1"/>
    <w:rsid w:val="00AC1C6D"/>
    <w:rsid w:val="00AC41D9"/>
    <w:rsid w:val="00AC42C2"/>
    <w:rsid w:val="00AC454F"/>
    <w:rsid w:val="00AC6D24"/>
    <w:rsid w:val="00AD1E8F"/>
    <w:rsid w:val="00AD38AE"/>
    <w:rsid w:val="00AD4573"/>
    <w:rsid w:val="00AD4FD8"/>
    <w:rsid w:val="00AD5FA4"/>
    <w:rsid w:val="00AD6A4E"/>
    <w:rsid w:val="00AD71BA"/>
    <w:rsid w:val="00AD7261"/>
    <w:rsid w:val="00AD7E2C"/>
    <w:rsid w:val="00AE2BD5"/>
    <w:rsid w:val="00AE50CB"/>
    <w:rsid w:val="00AE6488"/>
    <w:rsid w:val="00AE64E4"/>
    <w:rsid w:val="00AE6BE0"/>
    <w:rsid w:val="00AE769B"/>
    <w:rsid w:val="00AE7D71"/>
    <w:rsid w:val="00AF2A3B"/>
    <w:rsid w:val="00AF451B"/>
    <w:rsid w:val="00AF7E7B"/>
    <w:rsid w:val="00B00873"/>
    <w:rsid w:val="00B03B27"/>
    <w:rsid w:val="00B040C8"/>
    <w:rsid w:val="00B0481C"/>
    <w:rsid w:val="00B11AAB"/>
    <w:rsid w:val="00B15C37"/>
    <w:rsid w:val="00B2203E"/>
    <w:rsid w:val="00B22BBA"/>
    <w:rsid w:val="00B240AC"/>
    <w:rsid w:val="00B26F1E"/>
    <w:rsid w:val="00B303D7"/>
    <w:rsid w:val="00B305C5"/>
    <w:rsid w:val="00B305D9"/>
    <w:rsid w:val="00B33158"/>
    <w:rsid w:val="00B332A4"/>
    <w:rsid w:val="00B33F0B"/>
    <w:rsid w:val="00B34A92"/>
    <w:rsid w:val="00B37163"/>
    <w:rsid w:val="00B3776A"/>
    <w:rsid w:val="00B37BC1"/>
    <w:rsid w:val="00B404A8"/>
    <w:rsid w:val="00B41354"/>
    <w:rsid w:val="00B451B7"/>
    <w:rsid w:val="00B4669B"/>
    <w:rsid w:val="00B47984"/>
    <w:rsid w:val="00B50E1B"/>
    <w:rsid w:val="00B521C3"/>
    <w:rsid w:val="00B52D31"/>
    <w:rsid w:val="00B536E2"/>
    <w:rsid w:val="00B5378F"/>
    <w:rsid w:val="00B54037"/>
    <w:rsid w:val="00B54391"/>
    <w:rsid w:val="00B547E2"/>
    <w:rsid w:val="00B54F87"/>
    <w:rsid w:val="00B568EA"/>
    <w:rsid w:val="00B61D7D"/>
    <w:rsid w:val="00B64140"/>
    <w:rsid w:val="00B65E51"/>
    <w:rsid w:val="00B65F64"/>
    <w:rsid w:val="00B67223"/>
    <w:rsid w:val="00B70700"/>
    <w:rsid w:val="00B71004"/>
    <w:rsid w:val="00B71528"/>
    <w:rsid w:val="00B72663"/>
    <w:rsid w:val="00B72C94"/>
    <w:rsid w:val="00B74514"/>
    <w:rsid w:val="00B7476A"/>
    <w:rsid w:val="00B74D7C"/>
    <w:rsid w:val="00B77FBA"/>
    <w:rsid w:val="00B80105"/>
    <w:rsid w:val="00B80762"/>
    <w:rsid w:val="00B8222F"/>
    <w:rsid w:val="00B8478C"/>
    <w:rsid w:val="00B9013F"/>
    <w:rsid w:val="00B905FC"/>
    <w:rsid w:val="00B946C9"/>
    <w:rsid w:val="00B978FF"/>
    <w:rsid w:val="00B97DDA"/>
    <w:rsid w:val="00BA029A"/>
    <w:rsid w:val="00BA0BBF"/>
    <w:rsid w:val="00BA0BD1"/>
    <w:rsid w:val="00BA108C"/>
    <w:rsid w:val="00BA1618"/>
    <w:rsid w:val="00BA1714"/>
    <w:rsid w:val="00BA209D"/>
    <w:rsid w:val="00BA2F24"/>
    <w:rsid w:val="00BA77A3"/>
    <w:rsid w:val="00BB11BF"/>
    <w:rsid w:val="00BB2CE8"/>
    <w:rsid w:val="00BB3B20"/>
    <w:rsid w:val="00BB4706"/>
    <w:rsid w:val="00BB48C9"/>
    <w:rsid w:val="00BB5222"/>
    <w:rsid w:val="00BB538D"/>
    <w:rsid w:val="00BB64AE"/>
    <w:rsid w:val="00BB6D22"/>
    <w:rsid w:val="00BB70B4"/>
    <w:rsid w:val="00BC0F67"/>
    <w:rsid w:val="00BC12FA"/>
    <w:rsid w:val="00BC27E9"/>
    <w:rsid w:val="00BC425D"/>
    <w:rsid w:val="00BC6C6F"/>
    <w:rsid w:val="00BD2055"/>
    <w:rsid w:val="00BD52E3"/>
    <w:rsid w:val="00BD57EB"/>
    <w:rsid w:val="00BD7DF0"/>
    <w:rsid w:val="00BE2460"/>
    <w:rsid w:val="00BE2D37"/>
    <w:rsid w:val="00BE41AC"/>
    <w:rsid w:val="00BE473F"/>
    <w:rsid w:val="00BE4951"/>
    <w:rsid w:val="00BF0989"/>
    <w:rsid w:val="00BF09F3"/>
    <w:rsid w:val="00BF58FD"/>
    <w:rsid w:val="00BF60BE"/>
    <w:rsid w:val="00BF755D"/>
    <w:rsid w:val="00BF7E60"/>
    <w:rsid w:val="00C007FB"/>
    <w:rsid w:val="00C03887"/>
    <w:rsid w:val="00C047C0"/>
    <w:rsid w:val="00C04A51"/>
    <w:rsid w:val="00C04CA9"/>
    <w:rsid w:val="00C05332"/>
    <w:rsid w:val="00C066B4"/>
    <w:rsid w:val="00C06D06"/>
    <w:rsid w:val="00C1237E"/>
    <w:rsid w:val="00C128D6"/>
    <w:rsid w:val="00C131F8"/>
    <w:rsid w:val="00C1347B"/>
    <w:rsid w:val="00C15685"/>
    <w:rsid w:val="00C164F8"/>
    <w:rsid w:val="00C16856"/>
    <w:rsid w:val="00C1730A"/>
    <w:rsid w:val="00C20BC4"/>
    <w:rsid w:val="00C22463"/>
    <w:rsid w:val="00C22C5F"/>
    <w:rsid w:val="00C231B1"/>
    <w:rsid w:val="00C24872"/>
    <w:rsid w:val="00C24A5A"/>
    <w:rsid w:val="00C256D5"/>
    <w:rsid w:val="00C26B42"/>
    <w:rsid w:val="00C30837"/>
    <w:rsid w:val="00C337F8"/>
    <w:rsid w:val="00C33C42"/>
    <w:rsid w:val="00C34510"/>
    <w:rsid w:val="00C4149C"/>
    <w:rsid w:val="00C41504"/>
    <w:rsid w:val="00C4157B"/>
    <w:rsid w:val="00C41723"/>
    <w:rsid w:val="00C4222B"/>
    <w:rsid w:val="00C42CFB"/>
    <w:rsid w:val="00C4319A"/>
    <w:rsid w:val="00C45A23"/>
    <w:rsid w:val="00C461BC"/>
    <w:rsid w:val="00C477D7"/>
    <w:rsid w:val="00C5338B"/>
    <w:rsid w:val="00C5453E"/>
    <w:rsid w:val="00C54C4B"/>
    <w:rsid w:val="00C54F5B"/>
    <w:rsid w:val="00C55138"/>
    <w:rsid w:val="00C563E2"/>
    <w:rsid w:val="00C56BEE"/>
    <w:rsid w:val="00C574DD"/>
    <w:rsid w:val="00C62D2E"/>
    <w:rsid w:val="00C644E0"/>
    <w:rsid w:val="00C6578D"/>
    <w:rsid w:val="00C65A37"/>
    <w:rsid w:val="00C70291"/>
    <w:rsid w:val="00C70A1C"/>
    <w:rsid w:val="00C72148"/>
    <w:rsid w:val="00C7253C"/>
    <w:rsid w:val="00C729B3"/>
    <w:rsid w:val="00C72C3B"/>
    <w:rsid w:val="00C72F7D"/>
    <w:rsid w:val="00C73B73"/>
    <w:rsid w:val="00C7407B"/>
    <w:rsid w:val="00C76704"/>
    <w:rsid w:val="00C76D96"/>
    <w:rsid w:val="00C8031F"/>
    <w:rsid w:val="00C80768"/>
    <w:rsid w:val="00C809CC"/>
    <w:rsid w:val="00C82C68"/>
    <w:rsid w:val="00C83855"/>
    <w:rsid w:val="00C83BDF"/>
    <w:rsid w:val="00C84F47"/>
    <w:rsid w:val="00C906CC"/>
    <w:rsid w:val="00CA09D6"/>
    <w:rsid w:val="00CA21BF"/>
    <w:rsid w:val="00CA37F7"/>
    <w:rsid w:val="00CA3DEB"/>
    <w:rsid w:val="00CA61C2"/>
    <w:rsid w:val="00CA73FC"/>
    <w:rsid w:val="00CB21E0"/>
    <w:rsid w:val="00CB44F7"/>
    <w:rsid w:val="00CC2099"/>
    <w:rsid w:val="00CC78EA"/>
    <w:rsid w:val="00CD051A"/>
    <w:rsid w:val="00CD101E"/>
    <w:rsid w:val="00CD12C9"/>
    <w:rsid w:val="00CD1333"/>
    <w:rsid w:val="00CD3290"/>
    <w:rsid w:val="00CD43CB"/>
    <w:rsid w:val="00CD4897"/>
    <w:rsid w:val="00CD4CD9"/>
    <w:rsid w:val="00CD5B4F"/>
    <w:rsid w:val="00CD6AE4"/>
    <w:rsid w:val="00CD72DA"/>
    <w:rsid w:val="00CE04BC"/>
    <w:rsid w:val="00CE0F2E"/>
    <w:rsid w:val="00CE1E93"/>
    <w:rsid w:val="00CE1F1A"/>
    <w:rsid w:val="00CE24DE"/>
    <w:rsid w:val="00CE56DE"/>
    <w:rsid w:val="00CE5A83"/>
    <w:rsid w:val="00CE6B23"/>
    <w:rsid w:val="00CE7BE2"/>
    <w:rsid w:val="00CF0C7A"/>
    <w:rsid w:val="00CF1A72"/>
    <w:rsid w:val="00CF1FAA"/>
    <w:rsid w:val="00CF21C7"/>
    <w:rsid w:val="00CF351E"/>
    <w:rsid w:val="00CF4055"/>
    <w:rsid w:val="00CF4FFA"/>
    <w:rsid w:val="00CF53CC"/>
    <w:rsid w:val="00CF6226"/>
    <w:rsid w:val="00CF6B74"/>
    <w:rsid w:val="00CF76C6"/>
    <w:rsid w:val="00D007C0"/>
    <w:rsid w:val="00D00E55"/>
    <w:rsid w:val="00D0557B"/>
    <w:rsid w:val="00D1048A"/>
    <w:rsid w:val="00D1259F"/>
    <w:rsid w:val="00D12CCD"/>
    <w:rsid w:val="00D12CEE"/>
    <w:rsid w:val="00D12F62"/>
    <w:rsid w:val="00D143D9"/>
    <w:rsid w:val="00D1516C"/>
    <w:rsid w:val="00D15E9F"/>
    <w:rsid w:val="00D1608E"/>
    <w:rsid w:val="00D16FDA"/>
    <w:rsid w:val="00D203CE"/>
    <w:rsid w:val="00D2204F"/>
    <w:rsid w:val="00D23239"/>
    <w:rsid w:val="00D237D2"/>
    <w:rsid w:val="00D249C8"/>
    <w:rsid w:val="00D25BC6"/>
    <w:rsid w:val="00D2653D"/>
    <w:rsid w:val="00D26FA9"/>
    <w:rsid w:val="00D27CB8"/>
    <w:rsid w:val="00D306FA"/>
    <w:rsid w:val="00D31B4A"/>
    <w:rsid w:val="00D325E1"/>
    <w:rsid w:val="00D3730F"/>
    <w:rsid w:val="00D3785E"/>
    <w:rsid w:val="00D37D69"/>
    <w:rsid w:val="00D40508"/>
    <w:rsid w:val="00D406BE"/>
    <w:rsid w:val="00D40740"/>
    <w:rsid w:val="00D423C0"/>
    <w:rsid w:val="00D44660"/>
    <w:rsid w:val="00D456A1"/>
    <w:rsid w:val="00D476C3"/>
    <w:rsid w:val="00D47AC0"/>
    <w:rsid w:val="00D51968"/>
    <w:rsid w:val="00D54C67"/>
    <w:rsid w:val="00D56734"/>
    <w:rsid w:val="00D56E95"/>
    <w:rsid w:val="00D572C1"/>
    <w:rsid w:val="00D57DA2"/>
    <w:rsid w:val="00D57F4F"/>
    <w:rsid w:val="00D60F7D"/>
    <w:rsid w:val="00D62205"/>
    <w:rsid w:val="00D63E99"/>
    <w:rsid w:val="00D65D30"/>
    <w:rsid w:val="00D71066"/>
    <w:rsid w:val="00D7236B"/>
    <w:rsid w:val="00D72F9E"/>
    <w:rsid w:val="00D73DBA"/>
    <w:rsid w:val="00D74256"/>
    <w:rsid w:val="00D74BDE"/>
    <w:rsid w:val="00D7592E"/>
    <w:rsid w:val="00D77905"/>
    <w:rsid w:val="00D818D9"/>
    <w:rsid w:val="00D82697"/>
    <w:rsid w:val="00D85816"/>
    <w:rsid w:val="00D869DE"/>
    <w:rsid w:val="00D86CED"/>
    <w:rsid w:val="00D915B4"/>
    <w:rsid w:val="00D91A3F"/>
    <w:rsid w:val="00D92C41"/>
    <w:rsid w:val="00D92FEB"/>
    <w:rsid w:val="00D94223"/>
    <w:rsid w:val="00D9494F"/>
    <w:rsid w:val="00D951DF"/>
    <w:rsid w:val="00D95442"/>
    <w:rsid w:val="00D956D7"/>
    <w:rsid w:val="00D968DF"/>
    <w:rsid w:val="00D96C9C"/>
    <w:rsid w:val="00DA04F9"/>
    <w:rsid w:val="00DA31FE"/>
    <w:rsid w:val="00DA6727"/>
    <w:rsid w:val="00DB3346"/>
    <w:rsid w:val="00DB39E7"/>
    <w:rsid w:val="00DB5A9B"/>
    <w:rsid w:val="00DB751D"/>
    <w:rsid w:val="00DC0C19"/>
    <w:rsid w:val="00DC4302"/>
    <w:rsid w:val="00DC5520"/>
    <w:rsid w:val="00DC64C1"/>
    <w:rsid w:val="00DC741D"/>
    <w:rsid w:val="00DD0E86"/>
    <w:rsid w:val="00DD18EC"/>
    <w:rsid w:val="00DD388D"/>
    <w:rsid w:val="00DD7410"/>
    <w:rsid w:val="00DE00FF"/>
    <w:rsid w:val="00DE120D"/>
    <w:rsid w:val="00DE24FE"/>
    <w:rsid w:val="00DE2AC0"/>
    <w:rsid w:val="00DE3258"/>
    <w:rsid w:val="00DE3ACE"/>
    <w:rsid w:val="00DE4444"/>
    <w:rsid w:val="00DE4993"/>
    <w:rsid w:val="00DE6E01"/>
    <w:rsid w:val="00DE7797"/>
    <w:rsid w:val="00DF0B9A"/>
    <w:rsid w:val="00DF0C3D"/>
    <w:rsid w:val="00DF156F"/>
    <w:rsid w:val="00DF1CD0"/>
    <w:rsid w:val="00DF254C"/>
    <w:rsid w:val="00DF4C6B"/>
    <w:rsid w:val="00DF50F9"/>
    <w:rsid w:val="00DF6989"/>
    <w:rsid w:val="00DF6EFD"/>
    <w:rsid w:val="00DF73B3"/>
    <w:rsid w:val="00E055D3"/>
    <w:rsid w:val="00E05CDF"/>
    <w:rsid w:val="00E065A3"/>
    <w:rsid w:val="00E13932"/>
    <w:rsid w:val="00E14CDB"/>
    <w:rsid w:val="00E15FE1"/>
    <w:rsid w:val="00E1615D"/>
    <w:rsid w:val="00E17324"/>
    <w:rsid w:val="00E20BE7"/>
    <w:rsid w:val="00E20F96"/>
    <w:rsid w:val="00E211FE"/>
    <w:rsid w:val="00E2219D"/>
    <w:rsid w:val="00E22CEF"/>
    <w:rsid w:val="00E26E49"/>
    <w:rsid w:val="00E27F8D"/>
    <w:rsid w:val="00E310DC"/>
    <w:rsid w:val="00E3195C"/>
    <w:rsid w:val="00E32566"/>
    <w:rsid w:val="00E332BC"/>
    <w:rsid w:val="00E41002"/>
    <w:rsid w:val="00E4206C"/>
    <w:rsid w:val="00E443FD"/>
    <w:rsid w:val="00E45E69"/>
    <w:rsid w:val="00E464E2"/>
    <w:rsid w:val="00E46BA1"/>
    <w:rsid w:val="00E46DC3"/>
    <w:rsid w:val="00E52034"/>
    <w:rsid w:val="00E52C58"/>
    <w:rsid w:val="00E52E88"/>
    <w:rsid w:val="00E53D47"/>
    <w:rsid w:val="00E54514"/>
    <w:rsid w:val="00E54692"/>
    <w:rsid w:val="00E54F16"/>
    <w:rsid w:val="00E56783"/>
    <w:rsid w:val="00E612B5"/>
    <w:rsid w:val="00E62440"/>
    <w:rsid w:val="00E63185"/>
    <w:rsid w:val="00E67494"/>
    <w:rsid w:val="00E706B0"/>
    <w:rsid w:val="00E717F5"/>
    <w:rsid w:val="00E72026"/>
    <w:rsid w:val="00E72A38"/>
    <w:rsid w:val="00E74AE4"/>
    <w:rsid w:val="00E74EC1"/>
    <w:rsid w:val="00E75C59"/>
    <w:rsid w:val="00E76A50"/>
    <w:rsid w:val="00E8086E"/>
    <w:rsid w:val="00E808A4"/>
    <w:rsid w:val="00E83477"/>
    <w:rsid w:val="00E83C7E"/>
    <w:rsid w:val="00E86BFA"/>
    <w:rsid w:val="00E86E12"/>
    <w:rsid w:val="00E90930"/>
    <w:rsid w:val="00E90AA9"/>
    <w:rsid w:val="00E90CF8"/>
    <w:rsid w:val="00E92385"/>
    <w:rsid w:val="00E93FC5"/>
    <w:rsid w:val="00E9497F"/>
    <w:rsid w:val="00E94A2A"/>
    <w:rsid w:val="00E96E0C"/>
    <w:rsid w:val="00E97C0D"/>
    <w:rsid w:val="00EA29C3"/>
    <w:rsid w:val="00EA6E47"/>
    <w:rsid w:val="00EB067B"/>
    <w:rsid w:val="00EB07DC"/>
    <w:rsid w:val="00EB1A6D"/>
    <w:rsid w:val="00EB32D9"/>
    <w:rsid w:val="00EB4F5D"/>
    <w:rsid w:val="00EB7C8A"/>
    <w:rsid w:val="00EC05A0"/>
    <w:rsid w:val="00EC0A16"/>
    <w:rsid w:val="00EC21C8"/>
    <w:rsid w:val="00EC24E2"/>
    <w:rsid w:val="00EC26B8"/>
    <w:rsid w:val="00EC2F0C"/>
    <w:rsid w:val="00EC3DAC"/>
    <w:rsid w:val="00EC401A"/>
    <w:rsid w:val="00EC40D9"/>
    <w:rsid w:val="00EC552D"/>
    <w:rsid w:val="00EC6505"/>
    <w:rsid w:val="00ED32E1"/>
    <w:rsid w:val="00ED5033"/>
    <w:rsid w:val="00ED5E5E"/>
    <w:rsid w:val="00ED6434"/>
    <w:rsid w:val="00ED6FBB"/>
    <w:rsid w:val="00EE061F"/>
    <w:rsid w:val="00EE30D4"/>
    <w:rsid w:val="00EE542D"/>
    <w:rsid w:val="00EE56C0"/>
    <w:rsid w:val="00EE6B10"/>
    <w:rsid w:val="00EE702A"/>
    <w:rsid w:val="00EF071C"/>
    <w:rsid w:val="00EF0BF4"/>
    <w:rsid w:val="00EF114C"/>
    <w:rsid w:val="00EF2B66"/>
    <w:rsid w:val="00EF36BF"/>
    <w:rsid w:val="00EF3C37"/>
    <w:rsid w:val="00EF400C"/>
    <w:rsid w:val="00EF41D6"/>
    <w:rsid w:val="00EF4D79"/>
    <w:rsid w:val="00EF5947"/>
    <w:rsid w:val="00EF65AC"/>
    <w:rsid w:val="00F03A13"/>
    <w:rsid w:val="00F04036"/>
    <w:rsid w:val="00F0568F"/>
    <w:rsid w:val="00F05BE8"/>
    <w:rsid w:val="00F067A4"/>
    <w:rsid w:val="00F101A5"/>
    <w:rsid w:val="00F10B3E"/>
    <w:rsid w:val="00F1395E"/>
    <w:rsid w:val="00F151D4"/>
    <w:rsid w:val="00F16318"/>
    <w:rsid w:val="00F16E87"/>
    <w:rsid w:val="00F17965"/>
    <w:rsid w:val="00F2075C"/>
    <w:rsid w:val="00F20DAC"/>
    <w:rsid w:val="00F21C56"/>
    <w:rsid w:val="00F21FDF"/>
    <w:rsid w:val="00F24CDD"/>
    <w:rsid w:val="00F25390"/>
    <w:rsid w:val="00F3052E"/>
    <w:rsid w:val="00F33DFC"/>
    <w:rsid w:val="00F34127"/>
    <w:rsid w:val="00F361CF"/>
    <w:rsid w:val="00F36266"/>
    <w:rsid w:val="00F3727D"/>
    <w:rsid w:val="00F41613"/>
    <w:rsid w:val="00F416C7"/>
    <w:rsid w:val="00F41CC7"/>
    <w:rsid w:val="00F4254C"/>
    <w:rsid w:val="00F42B00"/>
    <w:rsid w:val="00F453AF"/>
    <w:rsid w:val="00F45515"/>
    <w:rsid w:val="00F4641B"/>
    <w:rsid w:val="00F47B80"/>
    <w:rsid w:val="00F518BD"/>
    <w:rsid w:val="00F51A59"/>
    <w:rsid w:val="00F533E9"/>
    <w:rsid w:val="00F5550C"/>
    <w:rsid w:val="00F63630"/>
    <w:rsid w:val="00F645BF"/>
    <w:rsid w:val="00F64685"/>
    <w:rsid w:val="00F6537A"/>
    <w:rsid w:val="00F65D57"/>
    <w:rsid w:val="00F65E7E"/>
    <w:rsid w:val="00F66715"/>
    <w:rsid w:val="00F70822"/>
    <w:rsid w:val="00F709C2"/>
    <w:rsid w:val="00F7205D"/>
    <w:rsid w:val="00F74D27"/>
    <w:rsid w:val="00F76A09"/>
    <w:rsid w:val="00F76A7E"/>
    <w:rsid w:val="00F81F99"/>
    <w:rsid w:val="00F82EDB"/>
    <w:rsid w:val="00F84AED"/>
    <w:rsid w:val="00F867D9"/>
    <w:rsid w:val="00F87FA7"/>
    <w:rsid w:val="00F900D6"/>
    <w:rsid w:val="00F90AB3"/>
    <w:rsid w:val="00F90D23"/>
    <w:rsid w:val="00F90E4C"/>
    <w:rsid w:val="00F917D8"/>
    <w:rsid w:val="00F923F0"/>
    <w:rsid w:val="00F92D3F"/>
    <w:rsid w:val="00F94DCE"/>
    <w:rsid w:val="00F951BB"/>
    <w:rsid w:val="00F95604"/>
    <w:rsid w:val="00F9665C"/>
    <w:rsid w:val="00F97DAE"/>
    <w:rsid w:val="00F97FCB"/>
    <w:rsid w:val="00FA25F5"/>
    <w:rsid w:val="00FA35A4"/>
    <w:rsid w:val="00FA3B09"/>
    <w:rsid w:val="00FA60E4"/>
    <w:rsid w:val="00FA66B1"/>
    <w:rsid w:val="00FA6EBF"/>
    <w:rsid w:val="00FA7D51"/>
    <w:rsid w:val="00FB02AE"/>
    <w:rsid w:val="00FB3BC4"/>
    <w:rsid w:val="00FB4406"/>
    <w:rsid w:val="00FB4815"/>
    <w:rsid w:val="00FB50C7"/>
    <w:rsid w:val="00FB53A5"/>
    <w:rsid w:val="00FB5FE7"/>
    <w:rsid w:val="00FB6328"/>
    <w:rsid w:val="00FB63B1"/>
    <w:rsid w:val="00FB777A"/>
    <w:rsid w:val="00FC7D2F"/>
    <w:rsid w:val="00FD117D"/>
    <w:rsid w:val="00FD1887"/>
    <w:rsid w:val="00FD3791"/>
    <w:rsid w:val="00FD3F83"/>
    <w:rsid w:val="00FD6432"/>
    <w:rsid w:val="00FD662C"/>
    <w:rsid w:val="00FD7CB1"/>
    <w:rsid w:val="00FE020A"/>
    <w:rsid w:val="00FE089A"/>
    <w:rsid w:val="00FE0D22"/>
    <w:rsid w:val="00FE256C"/>
    <w:rsid w:val="00FE25DE"/>
    <w:rsid w:val="00FE2FB7"/>
    <w:rsid w:val="00FE351C"/>
    <w:rsid w:val="00FE387F"/>
    <w:rsid w:val="00FE3BB6"/>
    <w:rsid w:val="00FE3E12"/>
    <w:rsid w:val="00FE4970"/>
    <w:rsid w:val="00FE4FE6"/>
    <w:rsid w:val="00FE525C"/>
    <w:rsid w:val="00FE5CDE"/>
    <w:rsid w:val="00FF0CAD"/>
    <w:rsid w:val="00FF18D5"/>
    <w:rsid w:val="00FF19BF"/>
    <w:rsid w:val="00FF2257"/>
    <w:rsid w:val="00FF3F1D"/>
    <w:rsid w:val="00FF5912"/>
    <w:rsid w:val="00FF672B"/>
    <w:rsid w:val="00FF7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E47"/>
    <w:pPr>
      <w:widowControl w:val="0"/>
      <w:kinsoku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2">
    <w:name w:val="head:l2"/>
    <w:uiPriority w:val="99"/>
    <w:rsid w:val="00EA6E47"/>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customStyle="1" w:styleId="paraindt1">
    <w:name w:val="para:indt1"/>
    <w:uiPriority w:val="99"/>
    <w:rsid w:val="00EA6E47"/>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ListParagraph">
    <w:name w:val="List Paragraph"/>
    <w:basedOn w:val="Normal"/>
    <w:uiPriority w:val="34"/>
    <w:qFormat/>
    <w:rsid w:val="00EA6E47"/>
    <w:pPr>
      <w:ind w:left="720"/>
    </w:pPr>
  </w:style>
  <w:style w:type="paragraph" w:customStyle="1" w:styleId="Default">
    <w:name w:val="Default"/>
    <w:rsid w:val="00EA6E47"/>
    <w:pPr>
      <w:autoSpaceDE w:val="0"/>
      <w:autoSpaceDN w:val="0"/>
      <w:adjustRightInd w:val="0"/>
      <w:spacing w:after="0" w:line="240" w:lineRule="auto"/>
    </w:pPr>
    <w:rPr>
      <w:rFonts w:ascii="Arial" w:eastAsia="Times New Roman" w:hAnsi="Arial" w:cs="Arial"/>
      <w:color w:val="000000"/>
      <w:sz w:val="24"/>
      <w:szCs w:val="24"/>
    </w:rPr>
  </w:style>
  <w:style w:type="character" w:styleId="CommentReference">
    <w:name w:val="annotation reference"/>
    <w:uiPriority w:val="99"/>
    <w:semiHidden/>
    <w:unhideWhenUsed/>
    <w:rsid w:val="00EA6E47"/>
    <w:rPr>
      <w:sz w:val="16"/>
      <w:szCs w:val="16"/>
    </w:rPr>
  </w:style>
  <w:style w:type="paragraph" w:styleId="CommentText">
    <w:name w:val="annotation text"/>
    <w:basedOn w:val="Normal"/>
    <w:link w:val="CommentTextChar"/>
    <w:uiPriority w:val="99"/>
    <w:unhideWhenUsed/>
    <w:rsid w:val="00EA6E47"/>
    <w:rPr>
      <w:sz w:val="20"/>
      <w:szCs w:val="20"/>
    </w:rPr>
  </w:style>
  <w:style w:type="character" w:customStyle="1" w:styleId="CommentTextChar">
    <w:name w:val="Comment Text Char"/>
    <w:basedOn w:val="DefaultParagraphFont"/>
    <w:link w:val="CommentText"/>
    <w:uiPriority w:val="99"/>
    <w:rsid w:val="00EA6E4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A6E47"/>
    <w:rPr>
      <w:rFonts w:ascii="Tahoma" w:hAnsi="Tahoma" w:cs="Tahoma"/>
      <w:sz w:val="16"/>
      <w:szCs w:val="16"/>
    </w:rPr>
  </w:style>
  <w:style w:type="character" w:customStyle="1" w:styleId="BalloonTextChar">
    <w:name w:val="Balloon Text Char"/>
    <w:basedOn w:val="DefaultParagraphFont"/>
    <w:link w:val="BalloonText"/>
    <w:uiPriority w:val="99"/>
    <w:semiHidden/>
    <w:rsid w:val="00EA6E47"/>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62497D"/>
    <w:rPr>
      <w:b/>
      <w:bCs/>
    </w:rPr>
  </w:style>
  <w:style w:type="character" w:customStyle="1" w:styleId="CommentSubjectChar">
    <w:name w:val="Comment Subject Char"/>
    <w:basedOn w:val="CommentTextChar"/>
    <w:link w:val="CommentSubject"/>
    <w:uiPriority w:val="99"/>
    <w:semiHidden/>
    <w:rsid w:val="0062497D"/>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C3BC7"/>
    <w:pPr>
      <w:tabs>
        <w:tab w:val="center" w:pos="4680"/>
        <w:tab w:val="right" w:pos="9360"/>
      </w:tabs>
    </w:pPr>
  </w:style>
  <w:style w:type="character" w:customStyle="1" w:styleId="HeaderChar">
    <w:name w:val="Header Char"/>
    <w:basedOn w:val="DefaultParagraphFont"/>
    <w:link w:val="Header"/>
    <w:uiPriority w:val="99"/>
    <w:rsid w:val="004C3B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C3BC7"/>
    <w:pPr>
      <w:tabs>
        <w:tab w:val="center" w:pos="4680"/>
        <w:tab w:val="right" w:pos="9360"/>
      </w:tabs>
    </w:pPr>
  </w:style>
  <w:style w:type="character" w:customStyle="1" w:styleId="FooterChar">
    <w:name w:val="Footer Char"/>
    <w:basedOn w:val="DefaultParagraphFont"/>
    <w:link w:val="Footer"/>
    <w:uiPriority w:val="99"/>
    <w:rsid w:val="004C3BC7"/>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E47"/>
    <w:pPr>
      <w:widowControl w:val="0"/>
      <w:kinsoku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2">
    <w:name w:val="head:l2"/>
    <w:uiPriority w:val="99"/>
    <w:rsid w:val="00EA6E47"/>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customStyle="1" w:styleId="paraindt1">
    <w:name w:val="para:indt1"/>
    <w:uiPriority w:val="99"/>
    <w:rsid w:val="00EA6E47"/>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ListParagraph">
    <w:name w:val="List Paragraph"/>
    <w:basedOn w:val="Normal"/>
    <w:uiPriority w:val="34"/>
    <w:qFormat/>
    <w:rsid w:val="00EA6E47"/>
    <w:pPr>
      <w:ind w:left="720"/>
    </w:pPr>
  </w:style>
  <w:style w:type="paragraph" w:customStyle="1" w:styleId="Default">
    <w:name w:val="Default"/>
    <w:rsid w:val="00EA6E47"/>
    <w:pPr>
      <w:autoSpaceDE w:val="0"/>
      <w:autoSpaceDN w:val="0"/>
      <w:adjustRightInd w:val="0"/>
      <w:spacing w:after="0" w:line="240" w:lineRule="auto"/>
    </w:pPr>
    <w:rPr>
      <w:rFonts w:ascii="Arial" w:eastAsia="Times New Roman" w:hAnsi="Arial" w:cs="Arial"/>
      <w:color w:val="000000"/>
      <w:sz w:val="24"/>
      <w:szCs w:val="24"/>
    </w:rPr>
  </w:style>
  <w:style w:type="character" w:styleId="CommentReference">
    <w:name w:val="annotation reference"/>
    <w:uiPriority w:val="99"/>
    <w:semiHidden/>
    <w:unhideWhenUsed/>
    <w:rsid w:val="00EA6E47"/>
    <w:rPr>
      <w:sz w:val="16"/>
      <w:szCs w:val="16"/>
    </w:rPr>
  </w:style>
  <w:style w:type="paragraph" w:styleId="CommentText">
    <w:name w:val="annotation text"/>
    <w:basedOn w:val="Normal"/>
    <w:link w:val="CommentTextChar"/>
    <w:uiPriority w:val="99"/>
    <w:unhideWhenUsed/>
    <w:rsid w:val="00EA6E47"/>
    <w:rPr>
      <w:sz w:val="20"/>
      <w:szCs w:val="20"/>
    </w:rPr>
  </w:style>
  <w:style w:type="character" w:customStyle="1" w:styleId="CommentTextChar">
    <w:name w:val="Comment Text Char"/>
    <w:basedOn w:val="DefaultParagraphFont"/>
    <w:link w:val="CommentText"/>
    <w:uiPriority w:val="99"/>
    <w:rsid w:val="00EA6E4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A6E47"/>
    <w:rPr>
      <w:rFonts w:ascii="Tahoma" w:hAnsi="Tahoma" w:cs="Tahoma"/>
      <w:sz w:val="16"/>
      <w:szCs w:val="16"/>
    </w:rPr>
  </w:style>
  <w:style w:type="character" w:customStyle="1" w:styleId="BalloonTextChar">
    <w:name w:val="Balloon Text Char"/>
    <w:basedOn w:val="DefaultParagraphFont"/>
    <w:link w:val="BalloonText"/>
    <w:uiPriority w:val="99"/>
    <w:semiHidden/>
    <w:rsid w:val="00EA6E47"/>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62497D"/>
    <w:rPr>
      <w:b/>
      <w:bCs/>
    </w:rPr>
  </w:style>
  <w:style w:type="character" w:customStyle="1" w:styleId="CommentSubjectChar">
    <w:name w:val="Comment Subject Char"/>
    <w:basedOn w:val="CommentTextChar"/>
    <w:link w:val="CommentSubject"/>
    <w:uiPriority w:val="99"/>
    <w:semiHidden/>
    <w:rsid w:val="0062497D"/>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C3BC7"/>
    <w:pPr>
      <w:tabs>
        <w:tab w:val="center" w:pos="4680"/>
        <w:tab w:val="right" w:pos="9360"/>
      </w:tabs>
    </w:pPr>
  </w:style>
  <w:style w:type="character" w:customStyle="1" w:styleId="HeaderChar">
    <w:name w:val="Header Char"/>
    <w:basedOn w:val="DefaultParagraphFont"/>
    <w:link w:val="Header"/>
    <w:uiPriority w:val="99"/>
    <w:rsid w:val="004C3B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C3BC7"/>
    <w:pPr>
      <w:tabs>
        <w:tab w:val="center" w:pos="4680"/>
        <w:tab w:val="right" w:pos="9360"/>
      </w:tabs>
    </w:pPr>
  </w:style>
  <w:style w:type="character" w:customStyle="1" w:styleId="FooterChar">
    <w:name w:val="Footer Char"/>
    <w:basedOn w:val="DefaultParagraphFont"/>
    <w:link w:val="Footer"/>
    <w:uiPriority w:val="99"/>
    <w:rsid w:val="004C3BC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C68"/>
    <w:rsid w:val="006B7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C4931EDB544D18AED25FD71A66BA63">
    <w:name w:val="4DC4931EDB544D18AED25FD71A66BA63"/>
    <w:rsid w:val="006B7C68"/>
  </w:style>
  <w:style w:type="paragraph" w:customStyle="1" w:styleId="F7E4F9C52D354265BCA8BF990002A304">
    <w:name w:val="F7E4F9C52D354265BCA8BF990002A304"/>
    <w:rsid w:val="006B7C6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C4931EDB544D18AED25FD71A66BA63">
    <w:name w:val="4DC4931EDB544D18AED25FD71A66BA63"/>
    <w:rsid w:val="006B7C68"/>
  </w:style>
  <w:style w:type="paragraph" w:customStyle="1" w:styleId="F7E4F9C52D354265BCA8BF990002A304">
    <w:name w:val="F7E4F9C52D354265BCA8BF990002A304"/>
    <w:rsid w:val="006B7C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2616</Words>
  <Characters>14912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Kermit Robinson</dc:creator>
  <cp:lastModifiedBy>Kermit Robinson</cp:lastModifiedBy>
  <cp:revision>3</cp:revision>
  <dcterms:created xsi:type="dcterms:W3CDTF">2016-08-24T22:34:00Z</dcterms:created>
  <dcterms:modified xsi:type="dcterms:W3CDTF">2016-08-26T16:18:00Z</dcterms:modified>
</cp:coreProperties>
</file>